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BC" w:rsidRDefault="007D6CBC" w:rsidP="00D7212D">
      <w:pPr>
        <w:spacing w:after="0"/>
        <w:rPr>
          <w:b/>
          <w:sz w:val="24"/>
          <w:szCs w:val="24"/>
          <w:highlight w:val="lightGray"/>
        </w:rPr>
      </w:pPr>
    </w:p>
    <w:p w:rsidR="007D6CBC" w:rsidRPr="007D6CBC" w:rsidRDefault="007D6CBC" w:rsidP="007A21CB">
      <w:pPr>
        <w:spacing w:after="0"/>
        <w:rPr>
          <w:b/>
          <w:sz w:val="28"/>
          <w:szCs w:val="28"/>
        </w:rPr>
      </w:pPr>
      <w:r w:rsidRPr="007D6CBC">
        <w:rPr>
          <w:b/>
          <w:sz w:val="28"/>
          <w:szCs w:val="28"/>
        </w:rPr>
        <w:t>Safety Data Sheet (SDS)</w:t>
      </w:r>
    </w:p>
    <w:p w:rsidR="007D6CBC" w:rsidRDefault="007D6CBC" w:rsidP="007A21CB">
      <w:pPr>
        <w:spacing w:after="0"/>
        <w:rPr>
          <w:b/>
          <w:sz w:val="24"/>
          <w:szCs w:val="24"/>
          <w:highlight w:val="lightGray"/>
        </w:rPr>
      </w:pPr>
      <w:r w:rsidRPr="007D6CBC">
        <w:rPr>
          <w:b/>
          <w:sz w:val="28"/>
          <w:szCs w:val="28"/>
        </w:rPr>
        <w:t>Microcel Puff</w:t>
      </w:r>
      <w:bookmarkStart w:id="0" w:name="_GoBack"/>
      <w:bookmarkEnd w:id="0"/>
      <w:r>
        <w:rPr>
          <w:rFonts w:cstheme="minorHAnsi"/>
          <w:b/>
          <w:sz w:val="28"/>
          <w:szCs w:val="28"/>
        </w:rPr>
        <w:t>®</w:t>
      </w:r>
      <w:r w:rsidRPr="007D6CBC">
        <w:rPr>
          <w:b/>
          <w:sz w:val="28"/>
          <w:szCs w:val="28"/>
        </w:rPr>
        <w:t xml:space="preserve"> – EVA (Ethylene Vinyl Acetate)</w:t>
      </w:r>
    </w:p>
    <w:p w:rsidR="007D6CBC" w:rsidRDefault="007D6CBC" w:rsidP="00D7212D">
      <w:pPr>
        <w:spacing w:after="0"/>
        <w:rPr>
          <w:b/>
          <w:sz w:val="24"/>
          <w:szCs w:val="24"/>
          <w:highlight w:val="lightGray"/>
        </w:rPr>
      </w:pPr>
    </w:p>
    <w:p w:rsidR="00D7212D" w:rsidRPr="00D7212D" w:rsidRDefault="00D7212D" w:rsidP="00D7212D">
      <w:pPr>
        <w:spacing w:after="0"/>
        <w:rPr>
          <w:b/>
          <w:sz w:val="24"/>
          <w:szCs w:val="24"/>
        </w:rPr>
      </w:pPr>
      <w:r w:rsidRPr="008B3E54">
        <w:rPr>
          <w:b/>
          <w:sz w:val="24"/>
          <w:szCs w:val="24"/>
          <w:highlight w:val="lightGray"/>
        </w:rPr>
        <w:t xml:space="preserve">SECTION 1: </w:t>
      </w:r>
      <w:r w:rsidRPr="008B3E54">
        <w:rPr>
          <w:b/>
          <w:sz w:val="24"/>
          <w:szCs w:val="24"/>
          <w:highlight w:val="lightGray"/>
        </w:rPr>
        <w:t>PRODUCT AND COMPANY INFORMATION</w:t>
      </w:r>
    </w:p>
    <w:p w:rsidR="00D7212D" w:rsidRDefault="00D7212D" w:rsidP="00D7212D">
      <w:pPr>
        <w:spacing w:after="0"/>
      </w:pPr>
    </w:p>
    <w:p w:rsidR="00D7212D" w:rsidRDefault="00D7212D" w:rsidP="00D7212D">
      <w:pPr>
        <w:spacing w:after="0"/>
      </w:pPr>
      <w:r>
        <w:t>Acor Orthopaedic, Inc.</w:t>
      </w:r>
    </w:p>
    <w:p w:rsidR="00D7212D" w:rsidRDefault="00D7212D" w:rsidP="00D7212D">
      <w:pPr>
        <w:spacing w:after="0"/>
      </w:pPr>
      <w:r>
        <w:t>18530 South Miles Parkway</w:t>
      </w:r>
    </w:p>
    <w:p w:rsidR="00D7212D" w:rsidRDefault="00D7212D" w:rsidP="00D7212D">
      <w:pPr>
        <w:spacing w:after="0"/>
      </w:pPr>
      <w:r>
        <w:t>Cleveland, OH 44128</w:t>
      </w:r>
    </w:p>
    <w:p w:rsidR="00D7212D" w:rsidRDefault="00D7212D" w:rsidP="00D7212D">
      <w:pPr>
        <w:spacing w:after="0"/>
      </w:pPr>
      <w:r>
        <w:t>800-237-2267</w:t>
      </w:r>
    </w:p>
    <w:p w:rsidR="00D7212D" w:rsidRDefault="00D7212D" w:rsidP="00D7212D">
      <w:pPr>
        <w:spacing w:after="0"/>
      </w:pPr>
      <w:r>
        <w:t>216-662-4500</w:t>
      </w:r>
    </w:p>
    <w:p w:rsidR="00D7212D" w:rsidRDefault="00D7212D" w:rsidP="00D7212D">
      <w:pPr>
        <w:spacing w:after="0"/>
      </w:pPr>
    </w:p>
    <w:p w:rsidR="00D7212D" w:rsidRDefault="00D7212D" w:rsidP="00D7212D">
      <w:pPr>
        <w:spacing w:after="0"/>
      </w:pPr>
      <w:r>
        <w:t xml:space="preserve">Product Family: </w:t>
      </w:r>
      <w:r>
        <w:tab/>
        <w:t>Polymer</w:t>
      </w:r>
    </w:p>
    <w:p w:rsidR="00D7212D" w:rsidRDefault="00D7212D" w:rsidP="00D7212D">
      <w:pPr>
        <w:spacing w:after="0"/>
      </w:pPr>
      <w:r>
        <w:t xml:space="preserve">Trade Names: </w:t>
      </w:r>
      <w:r>
        <w:tab/>
      </w:r>
      <w:r>
        <w:tab/>
      </w:r>
      <w:r>
        <w:t>Ethylene Vinyl Acetate ‐ EVA</w:t>
      </w:r>
    </w:p>
    <w:p w:rsidR="00D7212D" w:rsidRDefault="00D7212D" w:rsidP="00D7212D">
      <w:pPr>
        <w:spacing w:after="0"/>
        <w:ind w:left="2160"/>
      </w:pPr>
      <w:r>
        <w:t>P-Cell</w:t>
      </w:r>
      <w:r w:rsidR="007A21CB">
        <w:rPr>
          <w:rFonts w:cstheme="minorHAnsi"/>
        </w:rPr>
        <w:t>®</w:t>
      </w:r>
      <w:r>
        <w:t>, Microcel Puff</w:t>
      </w:r>
      <w:r w:rsidR="007A21CB">
        <w:rPr>
          <w:rFonts w:cstheme="minorHAnsi"/>
        </w:rPr>
        <w:t>®</w:t>
      </w:r>
      <w:r>
        <w:t xml:space="preserve"> 35, Microcel Puff</w:t>
      </w:r>
      <w:r w:rsidR="007A21CB">
        <w:rPr>
          <w:rFonts w:cstheme="minorHAnsi"/>
        </w:rPr>
        <w:t>®</w:t>
      </w:r>
      <w:r>
        <w:t xml:space="preserve"> 45, Microcel Puff</w:t>
      </w:r>
      <w:r w:rsidR="007A21CB">
        <w:rPr>
          <w:rFonts w:cstheme="minorHAnsi"/>
        </w:rPr>
        <w:t>®</w:t>
      </w:r>
      <w:r>
        <w:t xml:space="preserve"> 55, FM</w:t>
      </w:r>
      <w:r w:rsidR="007A21CB">
        <w:rPr>
          <w:rFonts w:cstheme="minorHAnsi"/>
        </w:rPr>
        <w:t>™</w:t>
      </w:r>
      <w:r>
        <w:t>, Impression Puff</w:t>
      </w:r>
      <w:r w:rsidR="007A21CB">
        <w:rPr>
          <w:rFonts w:cstheme="minorHAnsi"/>
        </w:rPr>
        <w:t>™</w:t>
      </w:r>
      <w:r>
        <w:t>, DuraForm</w:t>
      </w:r>
      <w:r w:rsidR="007A21CB">
        <w:rPr>
          <w:rFonts w:cstheme="minorHAnsi"/>
        </w:rPr>
        <w:t>™</w:t>
      </w:r>
      <w:r>
        <w:t>, MultiCork</w:t>
      </w:r>
      <w:r w:rsidR="007A21CB">
        <w:rPr>
          <w:rFonts w:cstheme="minorHAnsi"/>
        </w:rPr>
        <w:t>™</w:t>
      </w:r>
      <w:r>
        <w:t>, Microcel Puff SBR</w:t>
      </w:r>
      <w:r w:rsidR="007A21CB">
        <w:rPr>
          <w:rFonts w:cstheme="minorHAnsi"/>
        </w:rPr>
        <w:t>®</w:t>
      </w:r>
    </w:p>
    <w:p w:rsidR="00D7212D" w:rsidRDefault="00D7212D" w:rsidP="00D7212D">
      <w:pPr>
        <w:spacing w:after="0"/>
      </w:pPr>
      <w:r>
        <w:t>Other Means of Identificati</w:t>
      </w:r>
      <w:r>
        <w:t>on: None</w:t>
      </w:r>
    </w:p>
    <w:p w:rsidR="00D7212D" w:rsidRDefault="00D7212D" w:rsidP="00D7212D">
      <w:pPr>
        <w:spacing w:after="0"/>
      </w:pPr>
      <w:r>
        <w:t xml:space="preserve">Recommended Uses:  Film‐forming and molding resins, packaging, hot melt adhesive, </w:t>
      </w:r>
      <w:r>
        <w:t>medical and consumer articles</w:t>
      </w:r>
    </w:p>
    <w:p w:rsidR="00D7212D" w:rsidRDefault="00D7212D" w:rsidP="00D7212D">
      <w:pPr>
        <w:spacing w:after="0"/>
      </w:pPr>
    </w:p>
    <w:p w:rsidR="00D7212D" w:rsidRDefault="00D7212D" w:rsidP="00D7212D">
      <w:pPr>
        <w:spacing w:after="0"/>
        <w:rPr>
          <w:b/>
          <w:sz w:val="24"/>
          <w:szCs w:val="24"/>
        </w:rPr>
      </w:pPr>
      <w:r w:rsidRPr="008B3E54">
        <w:rPr>
          <w:b/>
          <w:sz w:val="24"/>
          <w:szCs w:val="24"/>
          <w:highlight w:val="lightGray"/>
        </w:rPr>
        <w:t>S</w:t>
      </w:r>
      <w:r w:rsidRPr="008B3E54">
        <w:rPr>
          <w:b/>
          <w:sz w:val="24"/>
          <w:szCs w:val="24"/>
          <w:highlight w:val="lightGray"/>
        </w:rPr>
        <w:t>ECTION 2: HAZARD IDENTIFICATION</w:t>
      </w:r>
    </w:p>
    <w:p w:rsidR="00D7212D" w:rsidRDefault="00D7212D" w:rsidP="00D7212D">
      <w:pPr>
        <w:spacing w:after="0"/>
        <w:rPr>
          <w:b/>
          <w:sz w:val="24"/>
          <w:szCs w:val="24"/>
        </w:rPr>
      </w:pPr>
    </w:p>
    <w:tbl>
      <w:tblPr>
        <w:tblStyle w:val="TableGrid"/>
        <w:tblW w:w="0" w:type="auto"/>
        <w:tblLook w:val="04A0" w:firstRow="1" w:lastRow="0" w:firstColumn="1" w:lastColumn="0" w:noHBand="0" w:noVBand="1"/>
      </w:tblPr>
      <w:tblGrid>
        <w:gridCol w:w="2515"/>
        <w:gridCol w:w="2159"/>
        <w:gridCol w:w="2611"/>
        <w:gridCol w:w="2065"/>
      </w:tblGrid>
      <w:tr w:rsidR="00C248EB" w:rsidTr="00B74030">
        <w:tc>
          <w:tcPr>
            <w:tcW w:w="9350" w:type="dxa"/>
            <w:gridSpan w:val="4"/>
          </w:tcPr>
          <w:p w:rsidR="00C248EB" w:rsidRDefault="00C248EB" w:rsidP="00C248EB">
            <w:pPr>
              <w:jc w:val="center"/>
            </w:pPr>
            <w:r>
              <w:t>EMERGENCY OVERVIEW</w:t>
            </w:r>
          </w:p>
        </w:tc>
      </w:tr>
      <w:tr w:rsidR="00C248EB" w:rsidTr="00A7457D">
        <w:tc>
          <w:tcPr>
            <w:tcW w:w="2515" w:type="dxa"/>
          </w:tcPr>
          <w:p w:rsidR="00C248EB" w:rsidRDefault="00C248EB" w:rsidP="00D7212D">
            <w:r>
              <w:t>GHS CLASSIFICATION</w:t>
            </w:r>
          </w:p>
        </w:tc>
        <w:tc>
          <w:tcPr>
            <w:tcW w:w="2159" w:type="dxa"/>
          </w:tcPr>
          <w:p w:rsidR="00C248EB" w:rsidRDefault="00C248EB" w:rsidP="00D7212D">
            <w:r>
              <w:t>Non-hazardous</w:t>
            </w:r>
          </w:p>
        </w:tc>
        <w:tc>
          <w:tcPr>
            <w:tcW w:w="4676" w:type="dxa"/>
            <w:gridSpan w:val="2"/>
          </w:tcPr>
          <w:p w:rsidR="00C248EB" w:rsidRDefault="00C248EB" w:rsidP="00C248EB">
            <w:pPr>
              <w:jc w:val="center"/>
            </w:pPr>
            <w:r>
              <w:t>HMIS</w:t>
            </w:r>
          </w:p>
        </w:tc>
      </w:tr>
      <w:tr w:rsidR="00C248EB" w:rsidTr="00C248EB">
        <w:tc>
          <w:tcPr>
            <w:tcW w:w="2515" w:type="dxa"/>
          </w:tcPr>
          <w:p w:rsidR="00C248EB" w:rsidRDefault="00C248EB" w:rsidP="00D7212D">
            <w:r>
              <w:t>Physical State</w:t>
            </w:r>
          </w:p>
        </w:tc>
        <w:tc>
          <w:tcPr>
            <w:tcW w:w="2159" w:type="dxa"/>
          </w:tcPr>
          <w:p w:rsidR="00C248EB" w:rsidRDefault="00C248EB" w:rsidP="00D7212D">
            <w:r>
              <w:t>Solid</w:t>
            </w:r>
          </w:p>
        </w:tc>
        <w:tc>
          <w:tcPr>
            <w:tcW w:w="2611" w:type="dxa"/>
          </w:tcPr>
          <w:p w:rsidR="00C248EB" w:rsidRDefault="00C248EB" w:rsidP="00D7212D">
            <w:r>
              <w:t>HEALTH</w:t>
            </w:r>
          </w:p>
        </w:tc>
        <w:tc>
          <w:tcPr>
            <w:tcW w:w="2065" w:type="dxa"/>
          </w:tcPr>
          <w:p w:rsidR="00C248EB" w:rsidRDefault="00C248EB" w:rsidP="00D7212D">
            <w:r>
              <w:t>0</w:t>
            </w:r>
          </w:p>
        </w:tc>
      </w:tr>
      <w:tr w:rsidR="00C248EB" w:rsidTr="00C248EB">
        <w:tc>
          <w:tcPr>
            <w:tcW w:w="2515" w:type="dxa"/>
          </w:tcPr>
          <w:p w:rsidR="00C248EB" w:rsidRDefault="00C248EB" w:rsidP="00D7212D">
            <w:r>
              <w:t>Color</w:t>
            </w:r>
          </w:p>
        </w:tc>
        <w:tc>
          <w:tcPr>
            <w:tcW w:w="2159" w:type="dxa"/>
          </w:tcPr>
          <w:p w:rsidR="00C248EB" w:rsidRDefault="00C248EB" w:rsidP="00D7212D"/>
        </w:tc>
        <w:tc>
          <w:tcPr>
            <w:tcW w:w="2611" w:type="dxa"/>
          </w:tcPr>
          <w:p w:rsidR="00C248EB" w:rsidRDefault="00C248EB" w:rsidP="00D7212D">
            <w:r>
              <w:t>FLAMMABILITY</w:t>
            </w:r>
          </w:p>
        </w:tc>
        <w:tc>
          <w:tcPr>
            <w:tcW w:w="2065" w:type="dxa"/>
          </w:tcPr>
          <w:p w:rsidR="00C248EB" w:rsidRDefault="00C248EB" w:rsidP="00D7212D">
            <w:r>
              <w:t>1</w:t>
            </w:r>
          </w:p>
        </w:tc>
      </w:tr>
      <w:tr w:rsidR="00C248EB" w:rsidTr="00C248EB">
        <w:tc>
          <w:tcPr>
            <w:tcW w:w="2515" w:type="dxa"/>
          </w:tcPr>
          <w:p w:rsidR="00C248EB" w:rsidRDefault="00C248EB" w:rsidP="00D7212D">
            <w:r>
              <w:t>Odor</w:t>
            </w:r>
          </w:p>
        </w:tc>
        <w:tc>
          <w:tcPr>
            <w:tcW w:w="2159" w:type="dxa"/>
          </w:tcPr>
          <w:p w:rsidR="00C248EB" w:rsidRDefault="00C248EB" w:rsidP="00D7212D"/>
        </w:tc>
        <w:tc>
          <w:tcPr>
            <w:tcW w:w="2611" w:type="dxa"/>
          </w:tcPr>
          <w:p w:rsidR="00C248EB" w:rsidRDefault="00C248EB" w:rsidP="00D7212D">
            <w:r>
              <w:t>PHYSICAL HAZARD</w:t>
            </w:r>
          </w:p>
        </w:tc>
        <w:tc>
          <w:tcPr>
            <w:tcW w:w="2065" w:type="dxa"/>
          </w:tcPr>
          <w:p w:rsidR="00C248EB" w:rsidRDefault="00C248EB" w:rsidP="00D7212D">
            <w:r>
              <w:t>0</w:t>
            </w:r>
          </w:p>
        </w:tc>
      </w:tr>
      <w:tr w:rsidR="00C248EB" w:rsidTr="00C248EB">
        <w:tc>
          <w:tcPr>
            <w:tcW w:w="2515" w:type="dxa"/>
          </w:tcPr>
          <w:p w:rsidR="00C248EB" w:rsidRDefault="00C248EB" w:rsidP="00D7212D"/>
        </w:tc>
        <w:tc>
          <w:tcPr>
            <w:tcW w:w="2159" w:type="dxa"/>
          </w:tcPr>
          <w:p w:rsidR="00C248EB" w:rsidRDefault="00C248EB" w:rsidP="00D7212D"/>
        </w:tc>
        <w:tc>
          <w:tcPr>
            <w:tcW w:w="2611" w:type="dxa"/>
          </w:tcPr>
          <w:p w:rsidR="00C248EB" w:rsidRDefault="00C248EB" w:rsidP="00D7212D">
            <w:r>
              <w:t>PERSONAL PROTECTION</w:t>
            </w:r>
          </w:p>
        </w:tc>
        <w:tc>
          <w:tcPr>
            <w:tcW w:w="2065" w:type="dxa"/>
          </w:tcPr>
          <w:p w:rsidR="00C248EB" w:rsidRDefault="00C248EB" w:rsidP="00D7212D">
            <w:r>
              <w:t>See Section 8</w:t>
            </w:r>
          </w:p>
        </w:tc>
      </w:tr>
    </w:tbl>
    <w:p w:rsidR="00C248EB" w:rsidRDefault="00C248EB" w:rsidP="00D7212D">
      <w:pPr>
        <w:spacing w:after="0"/>
      </w:pPr>
    </w:p>
    <w:p w:rsidR="00D7212D" w:rsidRDefault="00D7212D" w:rsidP="00D7212D">
      <w:pPr>
        <w:spacing w:after="0"/>
      </w:pPr>
      <w:r w:rsidRPr="00D7212D">
        <w:rPr>
          <w:b/>
        </w:rPr>
        <w:t xml:space="preserve">Primary Routes of </w:t>
      </w:r>
      <w:r w:rsidRPr="00D7212D">
        <w:rPr>
          <w:b/>
        </w:rPr>
        <w:t>Exposure</w:t>
      </w:r>
      <w:r>
        <w:tab/>
      </w:r>
      <w:r>
        <w:tab/>
        <w:t>Eyes or skin contact</w:t>
      </w:r>
    </w:p>
    <w:p w:rsidR="00D7212D" w:rsidRDefault="00D7212D" w:rsidP="00D7212D">
      <w:pPr>
        <w:spacing w:after="0"/>
      </w:pPr>
      <w:r w:rsidRPr="00D7212D">
        <w:rPr>
          <w:b/>
        </w:rPr>
        <w:t>Potential Health Effects</w:t>
      </w:r>
    </w:p>
    <w:p w:rsidR="00C248EB" w:rsidRDefault="00D7212D" w:rsidP="00D7212D">
      <w:pPr>
        <w:spacing w:after="0"/>
      </w:pPr>
      <w:r w:rsidRPr="00D7212D">
        <w:rPr>
          <w:b/>
        </w:rPr>
        <w:t>Acute Effects</w:t>
      </w:r>
      <w:r>
        <w:t xml:space="preserve"> </w:t>
      </w:r>
      <w:r>
        <w:tab/>
      </w:r>
      <w:r>
        <w:tab/>
      </w:r>
      <w:r>
        <w:tab/>
      </w:r>
      <w:r>
        <w:tab/>
      </w:r>
    </w:p>
    <w:p w:rsidR="00C248EB" w:rsidRDefault="00D7212D" w:rsidP="00C248EB">
      <w:pPr>
        <w:spacing w:after="0"/>
        <w:ind w:left="1440" w:hanging="1440"/>
      </w:pPr>
      <w:r>
        <w:t xml:space="preserve">Inhalation </w:t>
      </w:r>
      <w:r w:rsidR="00C248EB">
        <w:tab/>
      </w:r>
      <w:r w:rsidR="00C248EB">
        <w:tab/>
      </w:r>
      <w:r w:rsidR="00C248EB">
        <w:tab/>
      </w:r>
      <w:r w:rsidR="00C248EB">
        <w:tab/>
      </w:r>
      <w:r>
        <w:t xml:space="preserve">Health injuries not expected. Not a probable route of exposure </w:t>
      </w:r>
    </w:p>
    <w:p w:rsidR="00C248EB" w:rsidRDefault="00D7212D" w:rsidP="00C248EB">
      <w:pPr>
        <w:spacing w:after="0"/>
        <w:ind w:left="2880" w:firstLine="720"/>
      </w:pPr>
      <w:r>
        <w:t xml:space="preserve">under ordinary conditions. </w:t>
      </w:r>
    </w:p>
    <w:p w:rsidR="00C248EB" w:rsidRDefault="00D7212D" w:rsidP="00C248EB">
      <w:pPr>
        <w:spacing w:after="0"/>
      </w:pPr>
      <w:r>
        <w:t xml:space="preserve">Skin contact </w:t>
      </w:r>
      <w:r w:rsidR="00C248EB">
        <w:tab/>
      </w:r>
      <w:r w:rsidR="00C248EB">
        <w:tab/>
      </w:r>
      <w:r w:rsidR="00C248EB">
        <w:tab/>
      </w:r>
      <w:r w:rsidR="00C248EB">
        <w:tab/>
      </w:r>
      <w:r>
        <w:t xml:space="preserve">Health injuries not expected. Possible </w:t>
      </w:r>
      <w:r w:rsidR="00C248EB">
        <w:t>mechanical irritation.</w:t>
      </w:r>
    </w:p>
    <w:p w:rsidR="00C248EB" w:rsidRDefault="00D7212D" w:rsidP="00C248EB">
      <w:pPr>
        <w:spacing w:after="0"/>
      </w:pPr>
      <w:r>
        <w:t xml:space="preserve">Eye contact </w:t>
      </w:r>
      <w:r w:rsidR="00C248EB">
        <w:tab/>
      </w:r>
      <w:r w:rsidR="00C248EB">
        <w:tab/>
      </w:r>
      <w:r w:rsidR="00C248EB">
        <w:tab/>
      </w:r>
      <w:r w:rsidR="00C248EB">
        <w:tab/>
      </w:r>
      <w:r>
        <w:t xml:space="preserve">Health injuries not expected. Possible mechanical irritation from </w:t>
      </w:r>
    </w:p>
    <w:p w:rsidR="00C248EB" w:rsidRDefault="00D7212D" w:rsidP="00C248EB">
      <w:pPr>
        <w:spacing w:after="0"/>
        <w:ind w:left="2880" w:firstLine="720"/>
      </w:pPr>
      <w:r>
        <w:t xml:space="preserve">dust or powder. </w:t>
      </w:r>
    </w:p>
    <w:p w:rsidR="007A21CB" w:rsidRDefault="007A21CB" w:rsidP="00C248EB">
      <w:pPr>
        <w:spacing w:after="0"/>
      </w:pPr>
    </w:p>
    <w:p w:rsidR="007A21CB" w:rsidRDefault="007A21CB" w:rsidP="00C248EB">
      <w:pPr>
        <w:spacing w:after="0"/>
      </w:pPr>
    </w:p>
    <w:p w:rsidR="00C248EB" w:rsidRDefault="00D7212D" w:rsidP="00C248EB">
      <w:pPr>
        <w:spacing w:after="0"/>
      </w:pPr>
      <w:r>
        <w:lastRenderedPageBreak/>
        <w:t xml:space="preserve">Ingestion </w:t>
      </w:r>
      <w:r w:rsidR="00C248EB">
        <w:tab/>
      </w:r>
      <w:r w:rsidR="00C248EB">
        <w:tab/>
      </w:r>
      <w:r w:rsidR="00C248EB">
        <w:tab/>
      </w:r>
      <w:r w:rsidR="00C248EB">
        <w:tab/>
      </w:r>
      <w:r>
        <w:t xml:space="preserve">Health injuries not expected. Not a probable route of exposure. Chronic effects    </w:t>
      </w:r>
      <w:r w:rsidR="00C248EB">
        <w:tab/>
      </w:r>
      <w:r w:rsidR="00C248EB">
        <w:tab/>
      </w:r>
      <w:r w:rsidR="00C248EB">
        <w:tab/>
      </w:r>
      <w:r>
        <w:t>Ongoing expos</w:t>
      </w:r>
      <w:r w:rsidR="00C248EB">
        <w:t>ure may aggravate acute effects</w:t>
      </w:r>
      <w:r w:rsidR="008B3E54">
        <w:t>.</w:t>
      </w:r>
    </w:p>
    <w:p w:rsidR="00C248EB" w:rsidRDefault="00D7212D" w:rsidP="00C248EB">
      <w:pPr>
        <w:spacing w:after="0"/>
      </w:pPr>
      <w:r>
        <w:t xml:space="preserve">Carcinogenicity    </w:t>
      </w:r>
      <w:r w:rsidR="00C248EB">
        <w:tab/>
      </w:r>
      <w:r w:rsidR="00C248EB">
        <w:tab/>
      </w:r>
      <w:r w:rsidR="00C248EB">
        <w:tab/>
        <w:t>See Section 11</w:t>
      </w:r>
    </w:p>
    <w:p w:rsidR="007D6CBC" w:rsidRDefault="007D6CBC" w:rsidP="008B3E54">
      <w:pPr>
        <w:spacing w:after="0"/>
      </w:pPr>
    </w:p>
    <w:p w:rsidR="008B3E54" w:rsidRDefault="00D7212D" w:rsidP="008B3E54">
      <w:pPr>
        <w:spacing w:after="0"/>
      </w:pPr>
      <w:r>
        <w:t>Medica</w:t>
      </w:r>
      <w:r w:rsidR="00C248EB">
        <w:t xml:space="preserve">l conditions aggravated </w:t>
      </w:r>
      <w:r w:rsidR="00C248EB">
        <w:tab/>
      </w:r>
      <w:r w:rsidR="00C248EB">
        <w:tab/>
        <w:t>Ongoing</w:t>
      </w:r>
      <w:r w:rsidR="008B3E54" w:rsidRPr="008B3E54">
        <w:t xml:space="preserve"> </w:t>
      </w:r>
      <w:r w:rsidR="008B3E54">
        <w:t>exposure may aggravate acute effects</w:t>
      </w:r>
      <w:r w:rsidR="008B3E54">
        <w:t>.</w:t>
      </w:r>
    </w:p>
    <w:p w:rsidR="00C248EB" w:rsidRDefault="008B3E54" w:rsidP="008B3E54">
      <w:pPr>
        <w:spacing w:after="0"/>
      </w:pPr>
      <w:r>
        <w:t>by long term exposure</w:t>
      </w:r>
    </w:p>
    <w:p w:rsidR="00C248EB" w:rsidRDefault="00C248EB" w:rsidP="00C248EB">
      <w:pPr>
        <w:spacing w:after="0"/>
      </w:pPr>
    </w:p>
    <w:p w:rsidR="008B3E54" w:rsidRDefault="00D7212D" w:rsidP="00C248EB">
      <w:pPr>
        <w:spacing w:after="0"/>
      </w:pPr>
      <w:r w:rsidRPr="008B3E54">
        <w:rPr>
          <w:b/>
          <w:sz w:val="24"/>
          <w:szCs w:val="24"/>
          <w:highlight w:val="lightGray"/>
        </w:rPr>
        <w:t>SECTION 3: COMPOSITION/INFORMATION ON INGREDIENTS</w:t>
      </w:r>
      <w:r>
        <w:t xml:space="preserve"> </w:t>
      </w:r>
    </w:p>
    <w:p w:rsidR="008B3E54" w:rsidRDefault="008B3E54" w:rsidP="00C248EB">
      <w:pPr>
        <w:spacing w:after="0"/>
      </w:pPr>
    </w:p>
    <w:tbl>
      <w:tblPr>
        <w:tblStyle w:val="TableGrid"/>
        <w:tblW w:w="0" w:type="auto"/>
        <w:tblLook w:val="04A0" w:firstRow="1" w:lastRow="0" w:firstColumn="1" w:lastColumn="0" w:noHBand="0" w:noVBand="1"/>
      </w:tblPr>
      <w:tblGrid>
        <w:gridCol w:w="3116"/>
        <w:gridCol w:w="3117"/>
        <w:gridCol w:w="3117"/>
      </w:tblGrid>
      <w:tr w:rsidR="008B3E54" w:rsidTr="008B3E54">
        <w:tc>
          <w:tcPr>
            <w:tcW w:w="3116" w:type="dxa"/>
          </w:tcPr>
          <w:p w:rsidR="008B3E54" w:rsidRDefault="008B3E54" w:rsidP="00C248EB">
            <w:r>
              <w:t>Component</w:t>
            </w:r>
          </w:p>
        </w:tc>
        <w:tc>
          <w:tcPr>
            <w:tcW w:w="3117" w:type="dxa"/>
          </w:tcPr>
          <w:p w:rsidR="008B3E54" w:rsidRDefault="008B3E54" w:rsidP="00C248EB">
            <w:r>
              <w:t>CAS Number</w:t>
            </w:r>
          </w:p>
        </w:tc>
        <w:tc>
          <w:tcPr>
            <w:tcW w:w="3117" w:type="dxa"/>
          </w:tcPr>
          <w:p w:rsidR="008B3E54" w:rsidRDefault="008B3E54" w:rsidP="00C248EB">
            <w:r>
              <w:t>Percentage</w:t>
            </w:r>
          </w:p>
        </w:tc>
      </w:tr>
      <w:tr w:rsidR="008B3E54" w:rsidTr="008B3E54">
        <w:tc>
          <w:tcPr>
            <w:tcW w:w="3116" w:type="dxa"/>
          </w:tcPr>
          <w:p w:rsidR="008B3E54" w:rsidRDefault="008B3E54" w:rsidP="00C248EB">
            <w:r>
              <w:t>Ethylene vinyl acetate</w:t>
            </w:r>
          </w:p>
        </w:tc>
        <w:tc>
          <w:tcPr>
            <w:tcW w:w="3117" w:type="dxa"/>
          </w:tcPr>
          <w:p w:rsidR="008B3E54" w:rsidRDefault="008B3E54" w:rsidP="00C248EB">
            <w:r>
              <w:t>24937-78-8</w:t>
            </w:r>
          </w:p>
        </w:tc>
        <w:tc>
          <w:tcPr>
            <w:tcW w:w="3117" w:type="dxa"/>
          </w:tcPr>
          <w:p w:rsidR="008B3E54" w:rsidRDefault="008B3E54" w:rsidP="00C248EB">
            <w:r>
              <w:t>100 (+/-)</w:t>
            </w:r>
          </w:p>
        </w:tc>
      </w:tr>
      <w:tr w:rsidR="008B3E54" w:rsidTr="008B3E54">
        <w:tc>
          <w:tcPr>
            <w:tcW w:w="3116" w:type="dxa"/>
          </w:tcPr>
          <w:p w:rsidR="008B3E54" w:rsidRDefault="008B3E54" w:rsidP="00C248EB">
            <w:r>
              <w:t>Vinyl acetate monomer</w:t>
            </w:r>
          </w:p>
        </w:tc>
        <w:tc>
          <w:tcPr>
            <w:tcW w:w="3117" w:type="dxa"/>
          </w:tcPr>
          <w:p w:rsidR="008B3E54" w:rsidRDefault="008B3E54" w:rsidP="00C248EB">
            <w:r>
              <w:t>203-545-4</w:t>
            </w:r>
          </w:p>
        </w:tc>
        <w:tc>
          <w:tcPr>
            <w:tcW w:w="3117" w:type="dxa"/>
          </w:tcPr>
          <w:p w:rsidR="008B3E54" w:rsidRDefault="008B3E54" w:rsidP="00C248EB">
            <w:r>
              <w:t>&lt;0.1%</w:t>
            </w:r>
          </w:p>
        </w:tc>
      </w:tr>
    </w:tbl>
    <w:p w:rsidR="008B3E54" w:rsidRDefault="008B3E54" w:rsidP="00C248EB">
      <w:pPr>
        <w:spacing w:after="0"/>
      </w:pPr>
    </w:p>
    <w:p w:rsidR="008B3E54" w:rsidRPr="008B3E54" w:rsidRDefault="008B3E54" w:rsidP="00C248EB">
      <w:pPr>
        <w:spacing w:after="0"/>
        <w:rPr>
          <w:b/>
          <w:sz w:val="24"/>
          <w:szCs w:val="24"/>
        </w:rPr>
      </w:pPr>
      <w:r w:rsidRPr="008B3E54">
        <w:rPr>
          <w:b/>
          <w:sz w:val="24"/>
          <w:szCs w:val="24"/>
          <w:highlight w:val="lightGray"/>
        </w:rPr>
        <w:t>SECTION 4: FIRST AID MEASURES</w:t>
      </w:r>
    </w:p>
    <w:p w:rsidR="008B3E54" w:rsidRDefault="008B3E54" w:rsidP="00C248EB">
      <w:pPr>
        <w:spacing w:after="0"/>
      </w:pPr>
    </w:p>
    <w:p w:rsidR="008B3E54" w:rsidRDefault="00D7212D" w:rsidP="008B3E54">
      <w:pPr>
        <w:spacing w:after="0"/>
        <w:ind w:left="1440" w:hanging="1440"/>
      </w:pPr>
      <w:r>
        <w:t xml:space="preserve">Skin Contact: </w:t>
      </w:r>
      <w:r w:rsidR="008B3E54">
        <w:tab/>
      </w:r>
      <w:r>
        <w:t>If in contact with solid material, wash with soap and water. If in contact with molten material, submerge injured area in cold water. Do not attempt to remove material adhering to the skin. Get medical attention if irritation develops or persists.</w:t>
      </w:r>
    </w:p>
    <w:p w:rsidR="008B3E54" w:rsidRDefault="00D7212D" w:rsidP="00C248EB">
      <w:pPr>
        <w:spacing w:after="0"/>
      </w:pPr>
      <w:r>
        <w:t xml:space="preserve">Eye Contact: </w:t>
      </w:r>
      <w:r w:rsidR="008B3E54">
        <w:tab/>
      </w:r>
      <w:r>
        <w:t>Flush eyes with plenty of water. Get medical attention if irritation develops or persists.</w:t>
      </w:r>
    </w:p>
    <w:p w:rsidR="008B3E54" w:rsidRDefault="00D7212D" w:rsidP="008B3E54">
      <w:pPr>
        <w:spacing w:after="0"/>
        <w:ind w:left="1440" w:hanging="1440"/>
      </w:pPr>
      <w:r>
        <w:t xml:space="preserve">Inhalation: </w:t>
      </w:r>
      <w:r w:rsidR="008B3E54">
        <w:tab/>
      </w:r>
      <w:r>
        <w:t xml:space="preserve">This material is not likely to be hazardous by inhalation. Consult a physician </w:t>
      </w:r>
      <w:r w:rsidR="008B3E54">
        <w:t>if symptoms develop or persist.</w:t>
      </w:r>
    </w:p>
    <w:p w:rsidR="008B3E54" w:rsidRDefault="008B3E54" w:rsidP="00C248EB">
      <w:pPr>
        <w:spacing w:after="0"/>
      </w:pPr>
      <w:r>
        <w:t>Ingestion:</w:t>
      </w:r>
      <w:r>
        <w:tab/>
      </w:r>
      <w:r w:rsidR="00D7212D">
        <w:t xml:space="preserve">Not a probable route of exposure.   </w:t>
      </w:r>
    </w:p>
    <w:p w:rsidR="008B3E54" w:rsidRDefault="008B3E54" w:rsidP="00C248EB">
      <w:pPr>
        <w:spacing w:after="0"/>
      </w:pPr>
    </w:p>
    <w:p w:rsidR="008B3E54" w:rsidRPr="008B3E54" w:rsidRDefault="00D7212D" w:rsidP="00C248EB">
      <w:pPr>
        <w:spacing w:after="0"/>
        <w:rPr>
          <w:b/>
          <w:sz w:val="24"/>
          <w:szCs w:val="24"/>
        </w:rPr>
      </w:pPr>
      <w:r w:rsidRPr="008B3E54">
        <w:rPr>
          <w:b/>
          <w:sz w:val="24"/>
          <w:szCs w:val="24"/>
          <w:highlight w:val="lightGray"/>
        </w:rPr>
        <w:t>SE</w:t>
      </w:r>
      <w:r w:rsidR="008B3E54" w:rsidRPr="008B3E54">
        <w:rPr>
          <w:b/>
          <w:sz w:val="24"/>
          <w:szCs w:val="24"/>
          <w:highlight w:val="lightGray"/>
        </w:rPr>
        <w:t>CTION 5: FIRE FIGHTING MEASURES</w:t>
      </w:r>
    </w:p>
    <w:p w:rsidR="008B3E54" w:rsidRDefault="008B3E54" w:rsidP="00C248EB">
      <w:pPr>
        <w:spacing w:after="0"/>
      </w:pPr>
    </w:p>
    <w:p w:rsidR="008B3E54" w:rsidRDefault="00D7212D" w:rsidP="00C248EB">
      <w:pPr>
        <w:spacing w:after="0"/>
      </w:pPr>
      <w:r>
        <w:t>Use water fog, dry chemical, carbon dioxide or foam as appropriate for materials in surrounding fire. Avoid using direct streams of water on molten burning material as it may scatter and spread the fire. Melts in proximity to fires resulting in slippery floors and stairs. Static charges or on powders or powders in liquids may ignite combustible atmospheres. Airborne dusts of this product in an enclosed space and in the presence of an ignition source may constitute an explosion hazard. See NFPA Bulletin 654, “Standard for the Prevention of Fire and Dust Explosions from the Manufacturing Processing, and Handling of Combustible Particulate Solids,” for safe handling procedures. As in any fire, wear NIOSH/MSHA approved positive pressure self‐contained breathing apparatus and full protective clothing. Watch footing on floors and stairs because of possible spreading of molten material</w:t>
      </w:r>
      <w:r w:rsidR="008B3E54">
        <w:t>.</w:t>
      </w:r>
    </w:p>
    <w:p w:rsidR="007A21CB" w:rsidRDefault="007A21CB">
      <w:r>
        <w:br w:type="page"/>
      </w:r>
    </w:p>
    <w:p w:rsidR="008B3E54" w:rsidRDefault="008B3E54" w:rsidP="00C248EB">
      <w:pPr>
        <w:spacing w:after="0"/>
      </w:pPr>
    </w:p>
    <w:p w:rsidR="008B3E54" w:rsidRDefault="00D7212D" w:rsidP="00C248EB">
      <w:pPr>
        <w:spacing w:after="0"/>
      </w:pPr>
      <w:r w:rsidRPr="008B3E54">
        <w:rPr>
          <w:b/>
          <w:sz w:val="24"/>
          <w:szCs w:val="24"/>
          <w:highlight w:val="lightGray"/>
        </w:rPr>
        <w:t>SECTION 6: ACCIDENTAL RELEASE MEASURES</w:t>
      </w:r>
      <w:r>
        <w:t xml:space="preserve"> </w:t>
      </w:r>
    </w:p>
    <w:p w:rsidR="008B3E54" w:rsidRDefault="00D7212D" w:rsidP="00C248EB">
      <w:pPr>
        <w:spacing w:after="0"/>
      </w:pPr>
      <w:r>
        <w:t xml:space="preserve">Refer to Section 8: Exposure Control </w:t>
      </w:r>
      <w:r w:rsidR="008B3E54">
        <w:t>and Personal Protection</w:t>
      </w:r>
    </w:p>
    <w:p w:rsidR="008B3E54" w:rsidRDefault="008B3E54" w:rsidP="00C248EB">
      <w:pPr>
        <w:spacing w:after="0"/>
      </w:pPr>
    </w:p>
    <w:p w:rsidR="008B3E54" w:rsidRDefault="008B3E54" w:rsidP="00C248EB">
      <w:pPr>
        <w:spacing w:after="0"/>
      </w:pPr>
      <w:r>
        <w:t>Emergency Action:</w:t>
      </w:r>
    </w:p>
    <w:p w:rsidR="008B3E54" w:rsidRDefault="00D7212D" w:rsidP="008B3E54">
      <w:pPr>
        <w:spacing w:after="0"/>
        <w:ind w:left="720" w:firstLine="720"/>
      </w:pPr>
      <w:r>
        <w:t>No special envi</w:t>
      </w:r>
      <w:r w:rsidR="008B3E54">
        <w:t>ronmental precautions required.</w:t>
      </w:r>
    </w:p>
    <w:p w:rsidR="008B3E54" w:rsidRDefault="00D7212D" w:rsidP="008B3E54">
      <w:pPr>
        <w:spacing w:after="0"/>
      </w:pPr>
      <w:r>
        <w:t>Spill/Leak Procedure:</w:t>
      </w:r>
    </w:p>
    <w:p w:rsidR="008B3E54" w:rsidRDefault="00D7212D" w:rsidP="008B3E54">
      <w:pPr>
        <w:spacing w:after="0"/>
        <w:ind w:left="1440"/>
      </w:pPr>
      <w:r>
        <w:t>Containment of this material should not be necessary. Sweep up or gather material and place in appr</w:t>
      </w:r>
      <w:r w:rsidR="008B3E54">
        <w:t>opriate container for disposal.</w:t>
      </w:r>
    </w:p>
    <w:p w:rsidR="008B3E54" w:rsidRDefault="008B3E54" w:rsidP="008B3E54">
      <w:pPr>
        <w:spacing w:after="0"/>
      </w:pPr>
    </w:p>
    <w:p w:rsidR="008B3E54" w:rsidRPr="008B3E54" w:rsidRDefault="00D7212D" w:rsidP="008B3E54">
      <w:pPr>
        <w:spacing w:after="0"/>
        <w:rPr>
          <w:b/>
          <w:sz w:val="24"/>
          <w:szCs w:val="24"/>
        </w:rPr>
      </w:pPr>
      <w:r w:rsidRPr="008B3E54">
        <w:rPr>
          <w:b/>
          <w:sz w:val="24"/>
          <w:szCs w:val="24"/>
          <w:highlight w:val="lightGray"/>
        </w:rPr>
        <w:t xml:space="preserve">SECTION 7: </w:t>
      </w:r>
      <w:r w:rsidR="008B3E54" w:rsidRPr="008B3E54">
        <w:rPr>
          <w:b/>
          <w:sz w:val="24"/>
          <w:szCs w:val="24"/>
          <w:highlight w:val="lightGray"/>
        </w:rPr>
        <w:t>HANDLING AND STORAGE</w:t>
      </w:r>
    </w:p>
    <w:p w:rsidR="008B3E54" w:rsidRDefault="00D7212D" w:rsidP="008B3E54">
      <w:pPr>
        <w:spacing w:after="0"/>
      </w:pPr>
      <w:r>
        <w:t xml:space="preserve">Refer to Section 8: Exposure </w:t>
      </w:r>
      <w:r w:rsidR="008B3E54">
        <w:t>Control and Personal Protection</w:t>
      </w:r>
    </w:p>
    <w:p w:rsidR="008B3E54" w:rsidRDefault="008B3E54" w:rsidP="008B3E54">
      <w:pPr>
        <w:spacing w:after="0"/>
      </w:pPr>
    </w:p>
    <w:p w:rsidR="00CE4A2F" w:rsidRDefault="00D7212D" w:rsidP="008B3E54">
      <w:pPr>
        <w:spacing w:after="0"/>
      </w:pPr>
      <w:r>
        <w:t xml:space="preserve">Handling: </w:t>
      </w:r>
      <w:r w:rsidR="00CE4A2F">
        <w:tab/>
      </w:r>
      <w:r>
        <w:t>Keep away from heat, fla</w:t>
      </w:r>
      <w:r w:rsidR="00CE4A2F">
        <w:t>me and strong oxidizing agents.</w:t>
      </w:r>
    </w:p>
    <w:p w:rsidR="00CE4A2F" w:rsidRDefault="00D7212D" w:rsidP="00CE4A2F">
      <w:pPr>
        <w:spacing w:after="0"/>
        <w:ind w:left="1440" w:hanging="1440"/>
      </w:pPr>
      <w:r>
        <w:t xml:space="preserve">Storage: </w:t>
      </w:r>
      <w:r w:rsidR="00CE4A2F">
        <w:tab/>
      </w:r>
      <w:r>
        <w:t>Keep away from heat, sparks, and flame. Store in a cool place in original container and protect from sunlight.</w:t>
      </w:r>
    </w:p>
    <w:p w:rsidR="00CE4A2F" w:rsidRPr="00CE4A2F" w:rsidRDefault="00D7212D" w:rsidP="008B3E54">
      <w:pPr>
        <w:spacing w:after="0"/>
        <w:rPr>
          <w:b/>
          <w:sz w:val="24"/>
          <w:szCs w:val="24"/>
        </w:rPr>
      </w:pPr>
      <w:r w:rsidRPr="00CE4A2F">
        <w:rPr>
          <w:b/>
          <w:sz w:val="24"/>
          <w:szCs w:val="24"/>
          <w:highlight w:val="lightGray"/>
        </w:rPr>
        <w:t xml:space="preserve">SECTION 8: EXPOSURE </w:t>
      </w:r>
      <w:r w:rsidR="00CE4A2F" w:rsidRPr="00CE4A2F">
        <w:rPr>
          <w:b/>
          <w:sz w:val="24"/>
          <w:szCs w:val="24"/>
          <w:highlight w:val="lightGray"/>
        </w:rPr>
        <w:t>CONTROL AND PERSONAL PROTECTION</w:t>
      </w:r>
    </w:p>
    <w:p w:rsidR="00CE4A2F" w:rsidRDefault="00CE4A2F" w:rsidP="008B3E54">
      <w:pPr>
        <w:spacing w:after="0"/>
      </w:pPr>
    </w:p>
    <w:p w:rsidR="00CE4A2F" w:rsidRDefault="00CE4A2F" w:rsidP="008B3E54">
      <w:pPr>
        <w:spacing w:after="0"/>
      </w:pPr>
      <w:r>
        <w:t>Engineering Controls:</w:t>
      </w:r>
    </w:p>
    <w:p w:rsidR="00CE4A2F" w:rsidRDefault="00D7212D" w:rsidP="00CE4A2F">
      <w:pPr>
        <w:spacing w:after="0"/>
        <w:ind w:left="720"/>
      </w:pPr>
      <w:r>
        <w:t xml:space="preserve">Use recommended safe handling practices to minimize unnecessary exposure. General room ventilation is adequate for storage and ordinary handling. Use local exhaust at points of fume generation </w:t>
      </w:r>
      <w:r w:rsidR="00CE4A2F">
        <w:t>or if dusty conditions prevail.</w:t>
      </w:r>
    </w:p>
    <w:p w:rsidR="00CE4A2F" w:rsidRDefault="00CE4A2F" w:rsidP="008B3E54">
      <w:pPr>
        <w:spacing w:after="0"/>
      </w:pPr>
      <w:r>
        <w:t>Personal Protective Equipment:</w:t>
      </w:r>
    </w:p>
    <w:p w:rsidR="00CE4A2F" w:rsidRDefault="00D7212D" w:rsidP="00CE4A2F">
      <w:pPr>
        <w:spacing w:after="0"/>
        <w:ind w:left="720"/>
      </w:pPr>
      <w:r>
        <w:t>Wear safety glasses with side shields or chemical goggles to prevent eye contact. Have eye‐washing facilities readily available where eye contact can occur. It is recommended to wear contact lenses behind safety glasses when working with this substance. Wear impervious gloves and protective clothing to prevent skin contact. Use NIOSH or MSHA approved equipment.</w:t>
      </w:r>
    </w:p>
    <w:p w:rsidR="00CE4A2F" w:rsidRDefault="00CE4A2F" w:rsidP="008B3E54">
      <w:pPr>
        <w:spacing w:after="0"/>
      </w:pPr>
    </w:p>
    <w:p w:rsidR="00CE4A2F" w:rsidRPr="00CE4A2F" w:rsidRDefault="00D7212D" w:rsidP="008B3E54">
      <w:pPr>
        <w:spacing w:after="0"/>
        <w:rPr>
          <w:b/>
          <w:sz w:val="24"/>
          <w:szCs w:val="24"/>
        </w:rPr>
      </w:pPr>
      <w:r w:rsidRPr="007A21CB">
        <w:rPr>
          <w:b/>
          <w:sz w:val="24"/>
          <w:szCs w:val="24"/>
          <w:highlight w:val="lightGray"/>
        </w:rPr>
        <w:t>SECTION 9: P</w:t>
      </w:r>
      <w:r w:rsidR="00CE4A2F" w:rsidRPr="007A21CB">
        <w:rPr>
          <w:b/>
          <w:sz w:val="24"/>
          <w:szCs w:val="24"/>
          <w:highlight w:val="lightGray"/>
        </w:rPr>
        <w:t>HYSICAL AND CHEMICAL PROPERTIES</w:t>
      </w:r>
    </w:p>
    <w:p w:rsidR="00CE4A2F" w:rsidRDefault="00CE4A2F" w:rsidP="008B3E54">
      <w:pPr>
        <w:spacing w:after="0"/>
      </w:pPr>
    </w:p>
    <w:tbl>
      <w:tblPr>
        <w:tblStyle w:val="TableGrid"/>
        <w:tblW w:w="0" w:type="auto"/>
        <w:tblLook w:val="04A0" w:firstRow="1" w:lastRow="0" w:firstColumn="1" w:lastColumn="0" w:noHBand="0" w:noVBand="1"/>
      </w:tblPr>
      <w:tblGrid>
        <w:gridCol w:w="2337"/>
        <w:gridCol w:w="2337"/>
        <w:gridCol w:w="2338"/>
        <w:gridCol w:w="2338"/>
      </w:tblGrid>
      <w:tr w:rsidR="00CE4A2F" w:rsidTr="00CE4A2F">
        <w:tc>
          <w:tcPr>
            <w:tcW w:w="2337" w:type="dxa"/>
          </w:tcPr>
          <w:p w:rsidR="00CE4A2F" w:rsidRPr="00D87EB5" w:rsidRDefault="00CE4A2F" w:rsidP="008B3E54">
            <w:pPr>
              <w:rPr>
                <w:b/>
                <w:sz w:val="20"/>
                <w:szCs w:val="20"/>
              </w:rPr>
            </w:pPr>
            <w:r w:rsidRPr="00D87EB5">
              <w:rPr>
                <w:b/>
                <w:sz w:val="20"/>
                <w:szCs w:val="20"/>
              </w:rPr>
              <w:t>Boiling Point</w:t>
            </w:r>
          </w:p>
        </w:tc>
        <w:tc>
          <w:tcPr>
            <w:tcW w:w="2337" w:type="dxa"/>
          </w:tcPr>
          <w:p w:rsidR="00CE4A2F" w:rsidRPr="00CE4A2F" w:rsidRDefault="00D87EB5" w:rsidP="008B3E54">
            <w:pPr>
              <w:rPr>
                <w:sz w:val="20"/>
                <w:szCs w:val="20"/>
              </w:rPr>
            </w:pPr>
            <w:r>
              <w:rPr>
                <w:sz w:val="20"/>
                <w:szCs w:val="20"/>
              </w:rPr>
              <w:t>Not applicable</w:t>
            </w:r>
          </w:p>
        </w:tc>
        <w:tc>
          <w:tcPr>
            <w:tcW w:w="2338" w:type="dxa"/>
          </w:tcPr>
          <w:p w:rsidR="00CE4A2F" w:rsidRPr="00D87EB5" w:rsidRDefault="00D87EB5" w:rsidP="008B3E54">
            <w:pPr>
              <w:rPr>
                <w:b/>
                <w:sz w:val="20"/>
                <w:szCs w:val="20"/>
              </w:rPr>
            </w:pPr>
            <w:r w:rsidRPr="00D87EB5">
              <w:rPr>
                <w:b/>
                <w:sz w:val="20"/>
                <w:szCs w:val="20"/>
              </w:rPr>
              <w:t>Va</w:t>
            </w:r>
            <w:r w:rsidR="00CE4A2F" w:rsidRPr="00D87EB5">
              <w:rPr>
                <w:b/>
                <w:sz w:val="20"/>
                <w:szCs w:val="20"/>
              </w:rPr>
              <w:t>p</w:t>
            </w:r>
            <w:r w:rsidRPr="00D87EB5">
              <w:rPr>
                <w:b/>
                <w:sz w:val="20"/>
                <w:szCs w:val="20"/>
              </w:rPr>
              <w:t>o</w:t>
            </w:r>
            <w:r w:rsidR="00CE4A2F" w:rsidRPr="00D87EB5">
              <w:rPr>
                <w:b/>
                <w:sz w:val="20"/>
                <w:szCs w:val="20"/>
              </w:rPr>
              <w:t>r Density (Air=1)</w:t>
            </w:r>
          </w:p>
        </w:tc>
        <w:tc>
          <w:tcPr>
            <w:tcW w:w="2338" w:type="dxa"/>
          </w:tcPr>
          <w:p w:rsidR="00CE4A2F" w:rsidRPr="00CE4A2F" w:rsidRDefault="00CE4A2F" w:rsidP="008B3E54">
            <w:pPr>
              <w:rPr>
                <w:sz w:val="20"/>
                <w:szCs w:val="20"/>
              </w:rPr>
            </w:pPr>
            <w:r>
              <w:rPr>
                <w:sz w:val="20"/>
                <w:szCs w:val="20"/>
              </w:rPr>
              <w:t>Not determined</w:t>
            </w:r>
          </w:p>
        </w:tc>
      </w:tr>
      <w:tr w:rsidR="00CE4A2F" w:rsidTr="00CE4A2F">
        <w:tc>
          <w:tcPr>
            <w:tcW w:w="2337" w:type="dxa"/>
          </w:tcPr>
          <w:p w:rsidR="00CE4A2F" w:rsidRPr="00D87EB5" w:rsidRDefault="00CE4A2F" w:rsidP="008B3E54">
            <w:pPr>
              <w:rPr>
                <w:b/>
                <w:sz w:val="20"/>
                <w:szCs w:val="20"/>
              </w:rPr>
            </w:pPr>
            <w:r w:rsidRPr="00D87EB5">
              <w:rPr>
                <w:b/>
                <w:sz w:val="20"/>
                <w:szCs w:val="20"/>
              </w:rPr>
              <w:t>Specific Gravity (@ 60</w:t>
            </w:r>
            <w:r w:rsidRPr="00D87EB5">
              <w:rPr>
                <w:rFonts w:cstheme="minorHAnsi"/>
                <w:b/>
                <w:sz w:val="20"/>
                <w:szCs w:val="20"/>
              </w:rPr>
              <w:t>°</w:t>
            </w:r>
            <w:r w:rsidRPr="00D87EB5">
              <w:rPr>
                <w:b/>
                <w:sz w:val="20"/>
                <w:szCs w:val="20"/>
              </w:rPr>
              <w:t>F)</w:t>
            </w:r>
          </w:p>
        </w:tc>
        <w:tc>
          <w:tcPr>
            <w:tcW w:w="2337" w:type="dxa"/>
          </w:tcPr>
          <w:p w:rsidR="00CE4A2F" w:rsidRPr="00CE4A2F" w:rsidRDefault="00CE4A2F" w:rsidP="008B3E54">
            <w:pPr>
              <w:rPr>
                <w:sz w:val="20"/>
                <w:szCs w:val="20"/>
              </w:rPr>
            </w:pPr>
            <w:r>
              <w:rPr>
                <w:sz w:val="20"/>
                <w:szCs w:val="20"/>
              </w:rPr>
              <w:t>0.92 - 0.93</w:t>
            </w:r>
          </w:p>
        </w:tc>
        <w:tc>
          <w:tcPr>
            <w:tcW w:w="2338" w:type="dxa"/>
          </w:tcPr>
          <w:p w:rsidR="00CE4A2F" w:rsidRPr="00D87EB5" w:rsidRDefault="00CE4A2F" w:rsidP="008B3E54">
            <w:pPr>
              <w:rPr>
                <w:b/>
                <w:sz w:val="20"/>
                <w:szCs w:val="20"/>
              </w:rPr>
            </w:pPr>
            <w:r w:rsidRPr="00D87EB5">
              <w:rPr>
                <w:b/>
                <w:sz w:val="20"/>
                <w:szCs w:val="20"/>
              </w:rPr>
              <w:t>Soluble (% in Water)</w:t>
            </w:r>
          </w:p>
        </w:tc>
        <w:tc>
          <w:tcPr>
            <w:tcW w:w="2338" w:type="dxa"/>
          </w:tcPr>
          <w:p w:rsidR="00CE4A2F" w:rsidRPr="00CE4A2F" w:rsidRDefault="00CE4A2F" w:rsidP="008B3E54">
            <w:pPr>
              <w:rPr>
                <w:sz w:val="20"/>
                <w:szCs w:val="20"/>
              </w:rPr>
            </w:pPr>
            <w:r>
              <w:rPr>
                <w:sz w:val="20"/>
                <w:szCs w:val="20"/>
              </w:rPr>
              <w:t>Negligible</w:t>
            </w:r>
          </w:p>
        </w:tc>
      </w:tr>
      <w:tr w:rsidR="00CE4A2F" w:rsidTr="00CE4A2F">
        <w:tc>
          <w:tcPr>
            <w:tcW w:w="2337" w:type="dxa"/>
          </w:tcPr>
          <w:p w:rsidR="00CE4A2F" w:rsidRPr="00D87EB5" w:rsidRDefault="00CE4A2F" w:rsidP="008B3E54">
            <w:pPr>
              <w:rPr>
                <w:b/>
                <w:sz w:val="20"/>
                <w:szCs w:val="20"/>
              </w:rPr>
            </w:pPr>
            <w:r w:rsidRPr="00D87EB5">
              <w:rPr>
                <w:b/>
                <w:sz w:val="20"/>
                <w:szCs w:val="20"/>
              </w:rPr>
              <w:t>Melting/Freezing Point</w:t>
            </w:r>
          </w:p>
        </w:tc>
        <w:tc>
          <w:tcPr>
            <w:tcW w:w="2337" w:type="dxa"/>
          </w:tcPr>
          <w:p w:rsidR="00CE4A2F" w:rsidRPr="00CE4A2F" w:rsidRDefault="00CE4A2F" w:rsidP="008B3E54">
            <w:pPr>
              <w:rPr>
                <w:sz w:val="20"/>
                <w:szCs w:val="20"/>
              </w:rPr>
            </w:pPr>
            <w:r>
              <w:rPr>
                <w:sz w:val="20"/>
                <w:szCs w:val="20"/>
              </w:rPr>
              <w:t>167 - 216</w:t>
            </w:r>
            <w:r w:rsidRPr="00CE4A2F">
              <w:rPr>
                <w:rFonts w:cstheme="minorHAnsi"/>
                <w:sz w:val="20"/>
                <w:szCs w:val="20"/>
              </w:rPr>
              <w:t>°</w:t>
            </w:r>
            <w:r w:rsidRPr="00CE4A2F">
              <w:rPr>
                <w:sz w:val="20"/>
                <w:szCs w:val="20"/>
              </w:rPr>
              <w:t>F</w:t>
            </w:r>
            <w:r>
              <w:rPr>
                <w:sz w:val="20"/>
                <w:szCs w:val="20"/>
              </w:rPr>
              <w:t xml:space="preserve">   /  72 - 102</w:t>
            </w:r>
            <w:r w:rsidRPr="00CE4A2F">
              <w:rPr>
                <w:rFonts w:cstheme="minorHAnsi"/>
                <w:sz w:val="20"/>
                <w:szCs w:val="20"/>
              </w:rPr>
              <w:t>°</w:t>
            </w:r>
            <w:r>
              <w:rPr>
                <w:sz w:val="20"/>
                <w:szCs w:val="20"/>
              </w:rPr>
              <w:t>C</w:t>
            </w:r>
          </w:p>
        </w:tc>
        <w:tc>
          <w:tcPr>
            <w:tcW w:w="2338" w:type="dxa"/>
          </w:tcPr>
          <w:p w:rsidR="00CE4A2F" w:rsidRPr="00D87EB5" w:rsidRDefault="00CE4A2F" w:rsidP="008B3E54">
            <w:pPr>
              <w:rPr>
                <w:b/>
                <w:sz w:val="20"/>
                <w:szCs w:val="20"/>
              </w:rPr>
            </w:pPr>
            <w:r w:rsidRPr="00D87EB5">
              <w:rPr>
                <w:b/>
                <w:sz w:val="20"/>
                <w:szCs w:val="20"/>
              </w:rPr>
              <w:t>Appearance</w:t>
            </w:r>
          </w:p>
        </w:tc>
        <w:tc>
          <w:tcPr>
            <w:tcW w:w="2338" w:type="dxa"/>
          </w:tcPr>
          <w:p w:rsidR="00CE4A2F" w:rsidRPr="00CE4A2F" w:rsidRDefault="00D87EB5" w:rsidP="008B3E54">
            <w:pPr>
              <w:rPr>
                <w:sz w:val="20"/>
                <w:szCs w:val="20"/>
              </w:rPr>
            </w:pPr>
            <w:r>
              <w:rPr>
                <w:sz w:val="20"/>
                <w:szCs w:val="20"/>
              </w:rPr>
              <w:t>Multiple solids / Mixes</w:t>
            </w:r>
          </w:p>
        </w:tc>
      </w:tr>
      <w:tr w:rsidR="00CE4A2F" w:rsidTr="00CE4A2F">
        <w:tc>
          <w:tcPr>
            <w:tcW w:w="2337" w:type="dxa"/>
          </w:tcPr>
          <w:p w:rsidR="00CE4A2F" w:rsidRPr="00D87EB5" w:rsidRDefault="00CE4A2F" w:rsidP="008B3E54">
            <w:pPr>
              <w:rPr>
                <w:b/>
                <w:sz w:val="20"/>
                <w:szCs w:val="20"/>
              </w:rPr>
            </w:pPr>
            <w:r w:rsidRPr="00D87EB5">
              <w:rPr>
                <w:b/>
                <w:sz w:val="20"/>
                <w:szCs w:val="20"/>
              </w:rPr>
              <w:t>Evaporation Rate</w:t>
            </w:r>
          </w:p>
        </w:tc>
        <w:tc>
          <w:tcPr>
            <w:tcW w:w="2337" w:type="dxa"/>
          </w:tcPr>
          <w:p w:rsidR="00CE4A2F" w:rsidRPr="00CE4A2F" w:rsidRDefault="00CE4A2F" w:rsidP="008B3E54">
            <w:pPr>
              <w:rPr>
                <w:sz w:val="20"/>
                <w:szCs w:val="20"/>
              </w:rPr>
            </w:pPr>
            <w:r>
              <w:rPr>
                <w:sz w:val="20"/>
                <w:szCs w:val="20"/>
              </w:rPr>
              <w:t>Negligible</w:t>
            </w:r>
          </w:p>
        </w:tc>
        <w:tc>
          <w:tcPr>
            <w:tcW w:w="2338" w:type="dxa"/>
          </w:tcPr>
          <w:p w:rsidR="00CE4A2F" w:rsidRPr="00D87EB5" w:rsidRDefault="00CE4A2F" w:rsidP="008B3E54">
            <w:pPr>
              <w:rPr>
                <w:b/>
                <w:sz w:val="20"/>
                <w:szCs w:val="20"/>
              </w:rPr>
            </w:pPr>
            <w:r w:rsidRPr="00D87EB5">
              <w:rPr>
                <w:b/>
                <w:sz w:val="20"/>
                <w:szCs w:val="20"/>
              </w:rPr>
              <w:t>Odor</w:t>
            </w:r>
          </w:p>
        </w:tc>
        <w:tc>
          <w:tcPr>
            <w:tcW w:w="2338" w:type="dxa"/>
          </w:tcPr>
          <w:p w:rsidR="00CE4A2F" w:rsidRPr="00CE4A2F" w:rsidRDefault="00D87EB5" w:rsidP="008B3E54">
            <w:pPr>
              <w:rPr>
                <w:sz w:val="20"/>
                <w:szCs w:val="20"/>
              </w:rPr>
            </w:pPr>
            <w:r>
              <w:rPr>
                <w:sz w:val="20"/>
                <w:szCs w:val="20"/>
              </w:rPr>
              <w:t>Mild, Waxy</w:t>
            </w:r>
          </w:p>
        </w:tc>
      </w:tr>
      <w:tr w:rsidR="00CE4A2F" w:rsidTr="00CE4A2F">
        <w:tc>
          <w:tcPr>
            <w:tcW w:w="2337" w:type="dxa"/>
          </w:tcPr>
          <w:p w:rsidR="00CE4A2F" w:rsidRPr="00D87EB5" w:rsidRDefault="00CE4A2F" w:rsidP="008B3E54">
            <w:pPr>
              <w:rPr>
                <w:b/>
                <w:sz w:val="20"/>
                <w:szCs w:val="20"/>
              </w:rPr>
            </w:pPr>
            <w:r w:rsidRPr="00D87EB5">
              <w:rPr>
                <w:b/>
                <w:sz w:val="20"/>
                <w:szCs w:val="20"/>
              </w:rPr>
              <w:t>Vapor Pressure</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pH</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Odor Threshold</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Auto Ignition Temp</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Partition Coefficient</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Viscosity (SUS @ 100</w:t>
            </w:r>
            <w:r w:rsidRPr="00D87EB5">
              <w:rPr>
                <w:rFonts w:cstheme="minorHAnsi"/>
                <w:b/>
                <w:sz w:val="20"/>
                <w:szCs w:val="20"/>
              </w:rPr>
              <w:t>°</w:t>
            </w:r>
            <w:r w:rsidRPr="00D87EB5">
              <w:rPr>
                <w:b/>
                <w:sz w:val="20"/>
                <w:szCs w:val="20"/>
              </w:rPr>
              <w:t>F)</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Decomposition Nature</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Flash Point</w:t>
            </w:r>
          </w:p>
        </w:tc>
        <w:tc>
          <w:tcPr>
            <w:tcW w:w="2338" w:type="dxa"/>
          </w:tcPr>
          <w:p w:rsidR="00CE4A2F" w:rsidRPr="00CE4A2F" w:rsidRDefault="00D87EB5" w:rsidP="008B3E54">
            <w:pPr>
              <w:rPr>
                <w:sz w:val="20"/>
                <w:szCs w:val="20"/>
              </w:rPr>
            </w:pPr>
            <w:r>
              <w:rPr>
                <w:sz w:val="20"/>
                <w:szCs w:val="20"/>
              </w:rPr>
              <w:t>&gt;515</w:t>
            </w:r>
            <w:r>
              <w:rPr>
                <w:rFonts w:cstheme="minorHAnsi"/>
                <w:sz w:val="20"/>
                <w:szCs w:val="20"/>
              </w:rPr>
              <w:t>°</w:t>
            </w:r>
            <w:r>
              <w:rPr>
                <w:sz w:val="20"/>
                <w:szCs w:val="20"/>
              </w:rPr>
              <w:t>F / &gt;270</w:t>
            </w:r>
            <w:r>
              <w:rPr>
                <w:rFonts w:cstheme="minorHAnsi"/>
                <w:sz w:val="20"/>
                <w:szCs w:val="20"/>
              </w:rPr>
              <w:t>°</w:t>
            </w:r>
            <w:r>
              <w:rPr>
                <w:sz w:val="20"/>
                <w:szCs w:val="20"/>
              </w:rPr>
              <w:t>C</w:t>
            </w:r>
          </w:p>
        </w:tc>
      </w:tr>
      <w:tr w:rsidR="00D87EB5" w:rsidTr="004C01F4">
        <w:tc>
          <w:tcPr>
            <w:tcW w:w="4674" w:type="dxa"/>
            <w:gridSpan w:val="2"/>
          </w:tcPr>
          <w:p w:rsidR="00D87EB5" w:rsidRPr="00D87EB5" w:rsidRDefault="00D87EB5" w:rsidP="008B3E54">
            <w:pPr>
              <w:rPr>
                <w:b/>
                <w:sz w:val="20"/>
                <w:szCs w:val="20"/>
              </w:rPr>
            </w:pPr>
            <w:r w:rsidRPr="00D87EB5">
              <w:rPr>
                <w:b/>
                <w:sz w:val="20"/>
                <w:szCs w:val="20"/>
              </w:rPr>
              <w:t>Ventilation: Flammability Limits in Air (% by Volume)</w:t>
            </w:r>
          </w:p>
        </w:tc>
        <w:tc>
          <w:tcPr>
            <w:tcW w:w="4676" w:type="dxa"/>
            <w:gridSpan w:val="2"/>
          </w:tcPr>
          <w:p w:rsidR="00D87EB5" w:rsidRDefault="00D87EB5" w:rsidP="00D87EB5">
            <w:pPr>
              <w:jc w:val="center"/>
              <w:rPr>
                <w:sz w:val="20"/>
                <w:szCs w:val="20"/>
              </w:rPr>
            </w:pPr>
            <w:r>
              <w:rPr>
                <w:sz w:val="20"/>
                <w:szCs w:val="20"/>
              </w:rPr>
              <w:t>Not applicable</w:t>
            </w:r>
          </w:p>
        </w:tc>
      </w:tr>
    </w:tbl>
    <w:p w:rsidR="00CE4A2F" w:rsidRDefault="00CE4A2F" w:rsidP="008B3E54">
      <w:pPr>
        <w:spacing w:after="0"/>
      </w:pPr>
    </w:p>
    <w:p w:rsidR="007A21CB" w:rsidRDefault="007A21CB" w:rsidP="008B3E54">
      <w:pPr>
        <w:spacing w:after="0"/>
        <w:rPr>
          <w:b/>
          <w:sz w:val="24"/>
          <w:szCs w:val="24"/>
          <w:highlight w:val="lightGray"/>
        </w:rPr>
      </w:pPr>
    </w:p>
    <w:p w:rsidR="00D87EB5" w:rsidRPr="00D87EB5" w:rsidRDefault="00D7212D" w:rsidP="008B3E54">
      <w:pPr>
        <w:spacing w:after="0"/>
        <w:rPr>
          <w:b/>
          <w:sz w:val="24"/>
          <w:szCs w:val="24"/>
        </w:rPr>
      </w:pPr>
      <w:r w:rsidRPr="00D87EB5">
        <w:rPr>
          <w:b/>
          <w:sz w:val="24"/>
          <w:szCs w:val="24"/>
          <w:highlight w:val="lightGray"/>
        </w:rPr>
        <w:t>SECTION 10: STABILIT</w:t>
      </w:r>
      <w:r w:rsidR="00D87EB5" w:rsidRPr="00D87EB5">
        <w:rPr>
          <w:b/>
          <w:sz w:val="24"/>
          <w:szCs w:val="24"/>
          <w:highlight w:val="lightGray"/>
        </w:rPr>
        <w:t>Y AND REACTIVITY</w:t>
      </w:r>
    </w:p>
    <w:p w:rsidR="00D87EB5" w:rsidRDefault="00D87EB5" w:rsidP="008B3E54">
      <w:pPr>
        <w:spacing w:after="0"/>
      </w:pPr>
    </w:p>
    <w:p w:rsidR="00D87EB5" w:rsidRDefault="00D7212D" w:rsidP="008B3E54">
      <w:pPr>
        <w:spacing w:after="0"/>
      </w:pPr>
      <w:r>
        <w:t>Reactivity:</w:t>
      </w:r>
      <w:r w:rsidR="00D87EB5">
        <w:tab/>
      </w:r>
      <w:r w:rsidR="00D87EB5">
        <w:tab/>
      </w:r>
      <w:r>
        <w:t>Not reactive under normal</w:t>
      </w:r>
      <w:r w:rsidR="00D87EB5">
        <w:t xml:space="preserve"> conditions of storage and use.</w:t>
      </w:r>
    </w:p>
    <w:p w:rsidR="00D87EB5" w:rsidRDefault="00D7212D" w:rsidP="00D87EB5">
      <w:pPr>
        <w:spacing w:after="0"/>
        <w:ind w:left="2160" w:hanging="2160"/>
      </w:pPr>
      <w:r>
        <w:t xml:space="preserve">Chemical Stability:   </w:t>
      </w:r>
      <w:r w:rsidR="00D87EB5">
        <w:tab/>
      </w:r>
      <w:r>
        <w:t>Stable under normal conditions of storage and use.  Avoid exposure to open flame or exceeding recom</w:t>
      </w:r>
      <w:r w:rsidR="00D87EB5">
        <w:t>mended processing conditions.</w:t>
      </w:r>
    </w:p>
    <w:p w:rsidR="00D87EB5" w:rsidRDefault="00D7212D" w:rsidP="008B3E54">
      <w:pPr>
        <w:spacing w:after="0"/>
      </w:pPr>
      <w:r>
        <w:t>Stability/In</w:t>
      </w:r>
      <w:r w:rsidR="00D87EB5">
        <w:t>compatibility:</w:t>
      </w:r>
    </w:p>
    <w:p w:rsidR="00D87EB5" w:rsidRDefault="00D7212D" w:rsidP="00D87EB5">
      <w:pPr>
        <w:spacing w:after="0"/>
        <w:ind w:left="1440" w:firstLine="720"/>
      </w:pPr>
      <w:r>
        <w:t>Avoid contact with strong oxidizers, strong acids or flammable materials.</w:t>
      </w:r>
    </w:p>
    <w:p w:rsidR="00D87EB5" w:rsidRDefault="00D7212D" w:rsidP="00D87EB5">
      <w:pPr>
        <w:spacing w:after="0"/>
        <w:ind w:left="2160" w:hanging="2160"/>
      </w:pPr>
      <w:r>
        <w:t xml:space="preserve">Conditions to Avoid:   </w:t>
      </w:r>
      <w:r w:rsidR="00D87EB5">
        <w:tab/>
      </w:r>
      <w:r>
        <w:t>Avoid dust‐air mixtures or static charge buildup. Avoid contact with incompatible materials such as oxidizing agents or amines.</w:t>
      </w:r>
    </w:p>
    <w:p w:rsidR="00D87EB5" w:rsidRDefault="00D7212D" w:rsidP="008B3E54">
      <w:pPr>
        <w:spacing w:after="0"/>
      </w:pPr>
      <w:r>
        <w:t>Hazardous Reac</w:t>
      </w:r>
      <w:r w:rsidR="00D87EB5">
        <w:t>tions/Decomposition Products:</w:t>
      </w:r>
    </w:p>
    <w:p w:rsidR="00D87EB5" w:rsidRDefault="00D7212D" w:rsidP="00D87EB5">
      <w:pPr>
        <w:spacing w:after="0"/>
        <w:ind w:left="2160"/>
      </w:pPr>
      <w:r>
        <w:t>Material does not decompose at ambient temperatures.  Combustion or high heat may produce thermal decomposition products that may include carbon monoxide, carbon dioxide, dense</w:t>
      </w:r>
      <w:r w:rsidR="00D87EB5">
        <w:t xml:space="preserve"> smoke, and other toxic vapors.</w:t>
      </w:r>
    </w:p>
    <w:p w:rsidR="00D87EB5" w:rsidRDefault="00D87EB5" w:rsidP="008B3E54">
      <w:pPr>
        <w:spacing w:after="0"/>
      </w:pPr>
    </w:p>
    <w:p w:rsidR="00D87EB5" w:rsidRPr="00D87EB5" w:rsidRDefault="00D7212D" w:rsidP="008B3E54">
      <w:pPr>
        <w:spacing w:after="0"/>
        <w:rPr>
          <w:b/>
          <w:sz w:val="24"/>
          <w:szCs w:val="24"/>
        </w:rPr>
      </w:pPr>
      <w:r w:rsidRPr="00D87EB5">
        <w:rPr>
          <w:b/>
          <w:sz w:val="24"/>
          <w:szCs w:val="24"/>
          <w:highlight w:val="lightGray"/>
        </w:rPr>
        <w:t>SECTION 11</w:t>
      </w:r>
      <w:r w:rsidR="00D87EB5" w:rsidRPr="00D87EB5">
        <w:rPr>
          <w:b/>
          <w:sz w:val="24"/>
          <w:szCs w:val="24"/>
          <w:highlight w:val="lightGray"/>
        </w:rPr>
        <w:t>: TOXICOLOGICAL INFORMATION</w:t>
      </w:r>
    </w:p>
    <w:p w:rsidR="00D87EB5" w:rsidRDefault="00D87EB5" w:rsidP="008B3E54">
      <w:pPr>
        <w:spacing w:after="0"/>
      </w:pPr>
    </w:p>
    <w:p w:rsidR="00D87EB5" w:rsidRDefault="00D7212D" w:rsidP="008B3E54">
      <w:pPr>
        <w:spacing w:after="0"/>
      </w:pPr>
      <w:r>
        <w:t xml:space="preserve">Likely Routes of Exposure:      </w:t>
      </w:r>
      <w:r w:rsidR="00D87EB5">
        <w:tab/>
        <w:t>Eyes and skin contact.</w:t>
      </w:r>
    </w:p>
    <w:p w:rsidR="00D87EB5" w:rsidRDefault="00D7212D" w:rsidP="008B3E54">
      <w:pPr>
        <w:spacing w:after="0"/>
      </w:pPr>
      <w:r>
        <w:t xml:space="preserve">Acute Effects:    </w:t>
      </w:r>
      <w:r w:rsidR="00D87EB5">
        <w:tab/>
      </w:r>
      <w:r w:rsidR="00D87EB5">
        <w:tab/>
      </w:r>
      <w:r w:rsidR="00D87EB5">
        <w:tab/>
      </w:r>
      <w:r>
        <w:t xml:space="preserve">Mechanical irritation of eyes and skin.    </w:t>
      </w:r>
    </w:p>
    <w:p w:rsidR="00D87EB5" w:rsidRDefault="00D7212D" w:rsidP="00D87EB5">
      <w:pPr>
        <w:spacing w:after="0"/>
        <w:ind w:left="2880"/>
      </w:pPr>
      <w:r>
        <w:t xml:space="preserve">Oral Toxicity LD50 Not Available;   Inhalation Toxicity LD50 Not </w:t>
      </w:r>
      <w:r w:rsidR="00D87EB5">
        <w:t>Available.</w:t>
      </w:r>
    </w:p>
    <w:p w:rsidR="00D87EB5" w:rsidRDefault="00D7212D" w:rsidP="00D87EB5">
      <w:pPr>
        <w:spacing w:after="0"/>
      </w:pPr>
      <w:r>
        <w:t xml:space="preserve">Chronic Effects:       </w:t>
      </w:r>
      <w:r w:rsidR="00D87EB5">
        <w:tab/>
      </w:r>
      <w:r w:rsidR="00D87EB5">
        <w:tab/>
        <w:t>None known.</w:t>
      </w:r>
    </w:p>
    <w:p w:rsidR="00D87EB5" w:rsidRDefault="00D7212D" w:rsidP="00D87EB5">
      <w:pPr>
        <w:spacing w:after="0"/>
      </w:pPr>
      <w:r>
        <w:t xml:space="preserve">Symptoms:       </w:t>
      </w:r>
      <w:r w:rsidR="00D87EB5">
        <w:tab/>
      </w:r>
      <w:r w:rsidR="00D87EB5">
        <w:tab/>
      </w:r>
      <w:r w:rsidR="00D87EB5">
        <w:tab/>
        <w:t>Irritation of eyes and skin.</w:t>
      </w:r>
    </w:p>
    <w:p w:rsidR="00D87EB5" w:rsidRDefault="00D7212D" w:rsidP="00D87EB5">
      <w:pPr>
        <w:spacing w:after="0"/>
        <w:ind w:left="2880" w:hanging="2880"/>
      </w:pPr>
      <w:r>
        <w:t xml:space="preserve">Carcinogenicity:       </w:t>
      </w:r>
      <w:r w:rsidR="00D87EB5">
        <w:tab/>
      </w:r>
      <w:r>
        <w:t xml:space="preserve">This product has not been found to be carcinogenic by </w:t>
      </w:r>
      <w:r w:rsidR="00D87EB5">
        <w:t>the NTP, ACGIH, IARC or OSHA.</w:t>
      </w:r>
    </w:p>
    <w:p w:rsidR="00D87EB5" w:rsidRDefault="00D7212D" w:rsidP="00D87EB5">
      <w:pPr>
        <w:spacing w:after="0"/>
      </w:pPr>
      <w:r>
        <w:t>Further information</w:t>
      </w:r>
      <w:r w:rsidR="00D87EB5">
        <w:t>:</w:t>
      </w:r>
      <w:r>
        <w:t xml:space="preserve">     </w:t>
      </w:r>
      <w:r w:rsidR="00D87EB5">
        <w:tab/>
      </w:r>
      <w:r w:rsidR="00D87EB5">
        <w:tab/>
      </w:r>
      <w:r>
        <w:t xml:space="preserve">This product has no known </w:t>
      </w:r>
      <w:r w:rsidR="00D87EB5">
        <w:t>adverse effect on human health.</w:t>
      </w:r>
    </w:p>
    <w:p w:rsidR="00D87EB5" w:rsidRDefault="00D87EB5" w:rsidP="00D87EB5">
      <w:pPr>
        <w:spacing w:after="0"/>
      </w:pPr>
    </w:p>
    <w:p w:rsidR="00D87EB5" w:rsidRPr="00D87EB5" w:rsidRDefault="00D7212D" w:rsidP="00D87EB5">
      <w:pPr>
        <w:spacing w:after="0"/>
        <w:rPr>
          <w:b/>
          <w:sz w:val="24"/>
          <w:szCs w:val="24"/>
        </w:rPr>
      </w:pPr>
      <w:r w:rsidRPr="00D87EB5">
        <w:rPr>
          <w:b/>
          <w:sz w:val="24"/>
          <w:szCs w:val="24"/>
          <w:highlight w:val="lightGray"/>
        </w:rPr>
        <w:t>SEC</w:t>
      </w:r>
      <w:r w:rsidR="00D87EB5" w:rsidRPr="00D87EB5">
        <w:rPr>
          <w:b/>
          <w:sz w:val="24"/>
          <w:szCs w:val="24"/>
          <w:highlight w:val="lightGray"/>
        </w:rPr>
        <w:t>TION 12: ECOLOGICAL INFORMATION</w:t>
      </w:r>
    </w:p>
    <w:p w:rsidR="00D87EB5" w:rsidRDefault="00D87EB5" w:rsidP="00D87EB5">
      <w:pPr>
        <w:spacing w:after="0"/>
      </w:pPr>
    </w:p>
    <w:p w:rsidR="00D87EB5" w:rsidRDefault="00D7212D" w:rsidP="00D87EB5">
      <w:pPr>
        <w:spacing w:after="0"/>
      </w:pPr>
      <w:r>
        <w:t xml:space="preserve">Ecotoxicity:      </w:t>
      </w:r>
      <w:r w:rsidR="00D87EB5">
        <w:tab/>
      </w:r>
      <w:r w:rsidR="00D87EB5">
        <w:tab/>
      </w:r>
      <w:r w:rsidR="00D87EB5">
        <w:tab/>
      </w:r>
      <w:r w:rsidR="007D6CBC">
        <w:tab/>
      </w:r>
      <w:r>
        <w:t>No known or expected ecotoxicity</w:t>
      </w:r>
      <w:r w:rsidR="00D87EB5">
        <w:t>.</w:t>
      </w:r>
    </w:p>
    <w:p w:rsidR="007D6CBC" w:rsidRDefault="00D7212D" w:rsidP="00D87EB5">
      <w:pPr>
        <w:spacing w:after="0"/>
      </w:pPr>
      <w:r>
        <w:t xml:space="preserve">Persistence and Biodegradability:   </w:t>
      </w:r>
      <w:r w:rsidR="007D6CBC">
        <w:tab/>
        <w:t>Not determined.</w:t>
      </w:r>
    </w:p>
    <w:p w:rsidR="007D6CBC" w:rsidRDefault="00D7212D" w:rsidP="00D87EB5">
      <w:pPr>
        <w:spacing w:after="0"/>
      </w:pPr>
      <w:r>
        <w:t xml:space="preserve">Bioaccumulative Potential:     </w:t>
      </w:r>
      <w:r w:rsidR="007D6CBC">
        <w:tab/>
      </w:r>
      <w:r w:rsidR="007D6CBC">
        <w:tab/>
        <w:t>Not determined.</w:t>
      </w:r>
    </w:p>
    <w:p w:rsidR="007D6CBC" w:rsidRDefault="00D7212D" w:rsidP="00D87EB5">
      <w:pPr>
        <w:spacing w:after="0"/>
      </w:pPr>
      <w:r>
        <w:t xml:space="preserve">Mobility in Soil:       </w:t>
      </w:r>
      <w:r w:rsidR="007D6CBC">
        <w:tab/>
      </w:r>
      <w:r w:rsidR="007D6CBC">
        <w:tab/>
      </w:r>
      <w:r w:rsidR="007D6CBC">
        <w:tab/>
      </w:r>
      <w:r>
        <w:t xml:space="preserve">Not determined </w:t>
      </w:r>
    </w:p>
    <w:p w:rsidR="007D6CBC" w:rsidRDefault="007D6CBC" w:rsidP="00D87EB5">
      <w:pPr>
        <w:spacing w:after="0"/>
      </w:pPr>
    </w:p>
    <w:p w:rsidR="007D6CBC" w:rsidRPr="007D6CBC" w:rsidRDefault="00D7212D" w:rsidP="00D87EB5">
      <w:pPr>
        <w:spacing w:after="0"/>
        <w:rPr>
          <w:b/>
          <w:sz w:val="24"/>
          <w:szCs w:val="24"/>
        </w:rPr>
      </w:pPr>
      <w:r w:rsidRPr="007D6CBC">
        <w:rPr>
          <w:b/>
          <w:sz w:val="24"/>
          <w:szCs w:val="24"/>
          <w:highlight w:val="lightGray"/>
        </w:rPr>
        <w:t>SEC</w:t>
      </w:r>
      <w:r w:rsidR="007D6CBC" w:rsidRPr="007D6CBC">
        <w:rPr>
          <w:b/>
          <w:sz w:val="24"/>
          <w:szCs w:val="24"/>
          <w:highlight w:val="lightGray"/>
        </w:rPr>
        <w:t>TION 13: DISPOSAL CONSIDERATION</w:t>
      </w:r>
    </w:p>
    <w:p w:rsidR="007D6CBC" w:rsidRDefault="007D6CBC" w:rsidP="00D87EB5">
      <w:pPr>
        <w:spacing w:after="0"/>
      </w:pPr>
    </w:p>
    <w:p w:rsidR="007A21CB" w:rsidRDefault="00D7212D" w:rsidP="00D87EB5">
      <w:pPr>
        <w:spacing w:after="0"/>
      </w:pPr>
      <w:r>
        <w:t>Dispose of this product in compliance with all applicable federa</w:t>
      </w:r>
      <w:r w:rsidR="007D6CBC">
        <w:t>l, state and local regulations. The</w:t>
      </w:r>
      <w:r>
        <w:t xml:space="preserve"> unused  product is  not  specifically  listed  by  EPA  as   a    hazardous    waste (40 CFR, Part 261D), nor is it formulated to contain materials which are listed as hazardous wastes. It does not exhibit the </w:t>
      </w:r>
    </w:p>
    <w:p w:rsidR="007A21CB" w:rsidRDefault="007A21CB" w:rsidP="00D87EB5">
      <w:pPr>
        <w:spacing w:after="0"/>
      </w:pPr>
    </w:p>
    <w:p w:rsidR="007D6CBC" w:rsidRDefault="00D7212D" w:rsidP="00D87EB5">
      <w:pPr>
        <w:spacing w:after="0"/>
      </w:pPr>
      <w:r>
        <w:t>hazardous characteristics of ignitability, corrosivity or reactivity and is not formulated with contaminants as determined by the Toxicity Characterist</w:t>
      </w:r>
      <w:r w:rsidR="007D6CBC">
        <w:t>ic Leaching Procedure (TCLP).</w:t>
      </w:r>
    </w:p>
    <w:p w:rsidR="007D6CBC" w:rsidRDefault="007D6CBC" w:rsidP="00D87EB5">
      <w:pPr>
        <w:spacing w:after="0"/>
      </w:pPr>
    </w:p>
    <w:p w:rsidR="007D6CBC" w:rsidRPr="007D6CBC" w:rsidRDefault="00D7212D" w:rsidP="00D87EB5">
      <w:pPr>
        <w:spacing w:after="0"/>
        <w:rPr>
          <w:b/>
          <w:sz w:val="24"/>
          <w:szCs w:val="24"/>
        </w:rPr>
      </w:pPr>
      <w:r w:rsidRPr="007D6CBC">
        <w:rPr>
          <w:b/>
          <w:sz w:val="24"/>
          <w:szCs w:val="24"/>
          <w:highlight w:val="lightGray"/>
        </w:rPr>
        <w:t>SE</w:t>
      </w:r>
      <w:r w:rsidR="007D6CBC" w:rsidRPr="007D6CBC">
        <w:rPr>
          <w:b/>
          <w:sz w:val="24"/>
          <w:szCs w:val="24"/>
          <w:highlight w:val="lightGray"/>
        </w:rPr>
        <w:t>CTION 14: TRANSPORT INFORMATION</w:t>
      </w:r>
    </w:p>
    <w:p w:rsidR="007D6CBC" w:rsidRDefault="00D7212D" w:rsidP="00D87EB5">
      <w:pPr>
        <w:spacing w:after="0"/>
      </w:pPr>
      <w:r>
        <w:t>Refer to Section</w:t>
      </w:r>
      <w:r w:rsidR="007D6CBC">
        <w:t xml:space="preserve"> 6: Accidental Release Measures</w:t>
      </w:r>
    </w:p>
    <w:p w:rsidR="007D6CBC" w:rsidRDefault="007D6CBC" w:rsidP="00D87EB5">
      <w:pPr>
        <w:spacing w:after="0"/>
      </w:pPr>
    </w:p>
    <w:p w:rsidR="007D6CBC" w:rsidRDefault="00D7212D" w:rsidP="00D87EB5">
      <w:pPr>
        <w:spacing w:after="0"/>
      </w:pPr>
      <w:r>
        <w:t xml:space="preserve">D.O.T. 49 CFR 172.101:     </w:t>
      </w:r>
      <w:r w:rsidR="007D6CBC">
        <w:tab/>
      </w:r>
      <w:r w:rsidR="007D6CBC">
        <w:tab/>
        <w:t>Not regulated</w:t>
      </w:r>
    </w:p>
    <w:p w:rsidR="007D6CBC" w:rsidRDefault="00D7212D" w:rsidP="00D87EB5">
      <w:pPr>
        <w:spacing w:after="0"/>
      </w:pPr>
      <w:r>
        <w:t xml:space="preserve">TDG:          </w:t>
      </w:r>
      <w:r w:rsidR="007D6CBC">
        <w:tab/>
      </w:r>
      <w:r w:rsidR="007D6CBC">
        <w:tab/>
      </w:r>
      <w:r w:rsidR="007D6CBC">
        <w:tab/>
      </w:r>
      <w:r w:rsidR="007D6CBC">
        <w:tab/>
        <w:t>Not regulated</w:t>
      </w:r>
    </w:p>
    <w:p w:rsidR="007D6CBC" w:rsidRDefault="00D7212D" w:rsidP="00D87EB5">
      <w:pPr>
        <w:spacing w:after="0"/>
      </w:pPr>
      <w:r>
        <w:t xml:space="preserve">UN Proper Shipping Name/Number:      </w:t>
      </w:r>
      <w:r w:rsidR="007D6CBC">
        <w:tab/>
        <w:t>Not regulated</w:t>
      </w:r>
    </w:p>
    <w:p w:rsidR="007D6CBC" w:rsidRDefault="00D7212D" w:rsidP="00D87EB5">
      <w:pPr>
        <w:spacing w:after="0"/>
      </w:pPr>
      <w:r>
        <w:t xml:space="preserve">IMDG:          </w:t>
      </w:r>
      <w:r w:rsidR="007D6CBC">
        <w:tab/>
      </w:r>
      <w:r w:rsidR="007D6CBC">
        <w:tab/>
      </w:r>
      <w:r w:rsidR="007D6CBC">
        <w:tab/>
      </w:r>
      <w:r w:rsidR="007D6CBC">
        <w:tab/>
        <w:t>Not regulated  </w:t>
      </w:r>
    </w:p>
    <w:p w:rsidR="007D6CBC" w:rsidRDefault="00D7212D" w:rsidP="00D87EB5">
      <w:pPr>
        <w:spacing w:after="0"/>
      </w:pPr>
      <w:r>
        <w:t xml:space="preserve">IATA:         </w:t>
      </w:r>
      <w:r w:rsidR="007D6CBC">
        <w:tab/>
      </w:r>
      <w:r w:rsidR="007D6CBC">
        <w:tab/>
      </w:r>
      <w:r w:rsidR="007D6CBC">
        <w:tab/>
      </w:r>
      <w:r w:rsidR="007D6CBC">
        <w:tab/>
        <w:t>Not regulated</w:t>
      </w:r>
    </w:p>
    <w:p w:rsidR="007D6CBC" w:rsidRDefault="007D6CBC" w:rsidP="00D87EB5">
      <w:pPr>
        <w:spacing w:after="0"/>
        <w:rPr>
          <w:b/>
          <w:sz w:val="24"/>
          <w:szCs w:val="24"/>
          <w:highlight w:val="lightGray"/>
        </w:rPr>
      </w:pPr>
    </w:p>
    <w:p w:rsidR="007D6CBC" w:rsidRPr="007D6CBC" w:rsidRDefault="00D7212D" w:rsidP="00D87EB5">
      <w:pPr>
        <w:spacing w:after="0"/>
        <w:rPr>
          <w:b/>
          <w:sz w:val="24"/>
          <w:szCs w:val="24"/>
        </w:rPr>
      </w:pPr>
      <w:r w:rsidRPr="007D6CBC">
        <w:rPr>
          <w:b/>
          <w:sz w:val="24"/>
          <w:szCs w:val="24"/>
          <w:highlight w:val="lightGray"/>
        </w:rPr>
        <w:t>SEC</w:t>
      </w:r>
      <w:r w:rsidR="007D6CBC" w:rsidRPr="007D6CBC">
        <w:rPr>
          <w:b/>
          <w:sz w:val="24"/>
          <w:szCs w:val="24"/>
          <w:highlight w:val="lightGray"/>
        </w:rPr>
        <w:t>TION 15: REGULATORY INFORMATION</w:t>
      </w:r>
    </w:p>
    <w:p w:rsidR="007D6CBC" w:rsidRDefault="007D6CBC" w:rsidP="00D87EB5">
      <w:pPr>
        <w:spacing w:after="0"/>
      </w:pPr>
    </w:p>
    <w:p w:rsidR="007D6CBC" w:rsidRDefault="00D7212D" w:rsidP="00D87EB5">
      <w:pPr>
        <w:spacing w:after="0"/>
      </w:pPr>
      <w:r>
        <w:t>SARA TITLE III Information: Hazard categories for the Superfund Amendments and Reauthorization Act (SARA) Se</w:t>
      </w:r>
      <w:r w:rsidR="007D6CBC">
        <w:t>ction 311/312/313 (40 CFR 370):</w:t>
      </w:r>
    </w:p>
    <w:p w:rsidR="007D6CBC" w:rsidRDefault="007D6CBC" w:rsidP="00D87EB5">
      <w:pPr>
        <w:spacing w:after="0"/>
      </w:pPr>
      <w:r>
        <w:t>Immediate Hazard:  </w:t>
      </w:r>
      <w:r>
        <w:tab/>
        <w:t>No</w:t>
      </w:r>
    </w:p>
    <w:p w:rsidR="007D6CBC" w:rsidRDefault="00D7212D" w:rsidP="00D87EB5">
      <w:pPr>
        <w:spacing w:after="0"/>
      </w:pPr>
      <w:r>
        <w:t>Delayed Hazard:  </w:t>
      </w:r>
      <w:r w:rsidR="007D6CBC">
        <w:tab/>
      </w:r>
      <w:r>
        <w:t xml:space="preserve">No     </w:t>
      </w:r>
    </w:p>
    <w:p w:rsidR="007D6CBC" w:rsidRDefault="00D7212D" w:rsidP="00D87EB5">
      <w:pPr>
        <w:spacing w:after="0"/>
      </w:pPr>
      <w:r>
        <w:t>Fire Hazard:  </w:t>
      </w:r>
      <w:r w:rsidR="007D6CBC">
        <w:tab/>
      </w:r>
      <w:r w:rsidR="007D6CBC">
        <w:tab/>
      </w:r>
      <w:r>
        <w:t>No            </w:t>
      </w:r>
    </w:p>
    <w:p w:rsidR="007D6CBC" w:rsidRDefault="00D7212D" w:rsidP="00D87EB5">
      <w:pPr>
        <w:spacing w:after="0"/>
      </w:pPr>
      <w:r>
        <w:t>Pressure Hazard:  </w:t>
      </w:r>
      <w:r w:rsidR="007D6CBC">
        <w:tab/>
      </w:r>
      <w:r>
        <w:t>No        </w:t>
      </w:r>
    </w:p>
    <w:p w:rsidR="007D6CBC" w:rsidRDefault="007D6CBC" w:rsidP="00D87EB5">
      <w:pPr>
        <w:spacing w:after="0"/>
      </w:pPr>
      <w:r>
        <w:t>Reactivity Hazard:  </w:t>
      </w:r>
      <w:r>
        <w:tab/>
        <w:t>No</w:t>
      </w:r>
    </w:p>
    <w:p w:rsidR="007D6CBC" w:rsidRDefault="007D6CBC" w:rsidP="00D87EB5">
      <w:pPr>
        <w:spacing w:after="0"/>
      </w:pPr>
    </w:p>
    <w:p w:rsidR="007D6CBC" w:rsidRPr="007D6CBC" w:rsidRDefault="007D6CBC" w:rsidP="00D87EB5">
      <w:pPr>
        <w:spacing w:after="0"/>
        <w:rPr>
          <w:b/>
          <w:sz w:val="24"/>
          <w:szCs w:val="24"/>
        </w:rPr>
      </w:pPr>
      <w:r w:rsidRPr="007D6CBC">
        <w:rPr>
          <w:b/>
          <w:sz w:val="24"/>
          <w:szCs w:val="24"/>
          <w:highlight w:val="lightGray"/>
        </w:rPr>
        <w:t>SECTION 16: OTHER INFORMATION</w:t>
      </w:r>
    </w:p>
    <w:p w:rsidR="007D6CBC" w:rsidRDefault="007D6CBC" w:rsidP="00D87EB5">
      <w:pPr>
        <w:spacing w:after="0"/>
      </w:pPr>
    </w:p>
    <w:p w:rsidR="00446C5C" w:rsidRPr="00D7212D" w:rsidRDefault="00D7212D" w:rsidP="00D87EB5">
      <w:pPr>
        <w:spacing w:after="0"/>
        <w:rPr>
          <w:b/>
          <w:sz w:val="24"/>
          <w:szCs w:val="24"/>
        </w:rPr>
      </w:pPr>
      <w:r>
        <w:t>Notice: The information presented herein is based on data considered to be accurate as of the date of preparation of this Safety Data Sheet; however, no warranty or representation, expressed or implied, is made as to the accuracy or completeness of the foregoing data and safety information, nor is any authorization given or implied to practice any patented invention without a license.   In additional, no responsibility can be assumed by vendor for any damage or injury resulting from abnormal use, from any failure to adhere to recommended practices, or from any hazards inherent in the nature of the product.</w:t>
      </w:r>
    </w:p>
    <w:sectPr w:rsidR="00446C5C" w:rsidRPr="00D7212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47A" w:rsidRDefault="00B6647A" w:rsidP="007D6CBC">
      <w:pPr>
        <w:spacing w:after="0" w:line="240" w:lineRule="auto"/>
      </w:pPr>
      <w:r>
        <w:separator/>
      </w:r>
    </w:p>
  </w:endnote>
  <w:endnote w:type="continuationSeparator" w:id="0">
    <w:p w:rsidR="00B6647A" w:rsidRDefault="00B6647A" w:rsidP="007D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12103"/>
      <w:docPartObj>
        <w:docPartGallery w:val="Page Numbers (Bottom of Page)"/>
        <w:docPartUnique/>
      </w:docPartObj>
    </w:sdtPr>
    <w:sdtEndPr>
      <w:rPr>
        <w:noProof/>
      </w:rPr>
    </w:sdtEndPr>
    <w:sdtContent>
      <w:p w:rsidR="007A21CB" w:rsidRDefault="007A21CB">
        <w:pPr>
          <w:pStyle w:val="Footer"/>
          <w:jc w:val="right"/>
        </w:pPr>
      </w:p>
      <w:p w:rsidR="007D6CBC" w:rsidRPr="007A21CB" w:rsidRDefault="007D6CBC">
        <w:pPr>
          <w:pStyle w:val="Footer"/>
          <w:jc w:val="right"/>
          <w:rPr>
            <w:sz w:val="20"/>
            <w:szCs w:val="20"/>
          </w:rPr>
        </w:pPr>
        <w:r w:rsidRPr="007A21CB">
          <w:rPr>
            <w:sz w:val="20"/>
            <w:szCs w:val="20"/>
          </w:rPr>
          <w:t>Acor Orthopaedic, Inc.</w:t>
        </w:r>
      </w:p>
      <w:p w:rsidR="007D6CBC" w:rsidRPr="007A21CB" w:rsidRDefault="007D6CBC">
        <w:pPr>
          <w:pStyle w:val="Footer"/>
          <w:jc w:val="right"/>
          <w:rPr>
            <w:sz w:val="20"/>
            <w:szCs w:val="20"/>
          </w:rPr>
        </w:pPr>
        <w:r w:rsidRPr="007A21CB">
          <w:rPr>
            <w:sz w:val="20"/>
            <w:szCs w:val="20"/>
          </w:rPr>
          <w:t>07/01/2019</w:t>
        </w:r>
      </w:p>
      <w:p w:rsidR="007D6CBC" w:rsidRDefault="007D6CBC">
        <w:pPr>
          <w:pStyle w:val="Footer"/>
          <w:jc w:val="right"/>
        </w:pPr>
        <w:r>
          <w:fldChar w:fldCharType="begin"/>
        </w:r>
        <w:r>
          <w:instrText xml:space="preserve"> PAGE   \* MERGEFORMAT </w:instrText>
        </w:r>
        <w:r>
          <w:fldChar w:fldCharType="separate"/>
        </w:r>
        <w:r w:rsidR="00975B05">
          <w:rPr>
            <w:noProof/>
          </w:rPr>
          <w:t>1</w:t>
        </w:r>
        <w:r>
          <w:rPr>
            <w:noProof/>
          </w:rPr>
          <w:fldChar w:fldCharType="end"/>
        </w:r>
      </w:p>
    </w:sdtContent>
  </w:sdt>
  <w:p w:rsidR="007D6CBC" w:rsidRDefault="007D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47A" w:rsidRDefault="00B6647A" w:rsidP="007D6CBC">
      <w:pPr>
        <w:spacing w:after="0" w:line="240" w:lineRule="auto"/>
      </w:pPr>
      <w:r>
        <w:separator/>
      </w:r>
    </w:p>
  </w:footnote>
  <w:footnote w:type="continuationSeparator" w:id="0">
    <w:p w:rsidR="00B6647A" w:rsidRDefault="00B6647A" w:rsidP="007D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BC" w:rsidRDefault="007D6CBC" w:rsidP="007D6CBC">
    <w:pPr>
      <w:pStyle w:val="Header"/>
    </w:pPr>
    <w:r>
      <w:rPr>
        <w:noProof/>
      </w:rPr>
      <w:drawing>
        <wp:inline distT="0" distB="0" distL="0" distR="0" wp14:anchorId="7CD17DB3">
          <wp:extent cx="5989838" cy="996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838" cy="99694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2D"/>
    <w:rsid w:val="00446C5C"/>
    <w:rsid w:val="007A21CB"/>
    <w:rsid w:val="007D6CBC"/>
    <w:rsid w:val="008B3E54"/>
    <w:rsid w:val="00975B05"/>
    <w:rsid w:val="00B6647A"/>
    <w:rsid w:val="00C248EB"/>
    <w:rsid w:val="00CE4A2F"/>
    <w:rsid w:val="00D7212D"/>
    <w:rsid w:val="00D8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32F79"/>
  <w15:chartTrackingRefBased/>
  <w15:docId w15:val="{0ED6731F-D583-41F6-9A37-BCF6F966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CBC"/>
  </w:style>
  <w:style w:type="paragraph" w:styleId="Footer">
    <w:name w:val="footer"/>
    <w:basedOn w:val="Normal"/>
    <w:link w:val="FooterChar"/>
    <w:uiPriority w:val="99"/>
    <w:unhideWhenUsed/>
    <w:rsid w:val="007D6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CBC"/>
  </w:style>
  <w:style w:type="paragraph" w:styleId="BalloonText">
    <w:name w:val="Balloon Text"/>
    <w:basedOn w:val="Normal"/>
    <w:link w:val="BalloonTextChar"/>
    <w:uiPriority w:val="99"/>
    <w:semiHidden/>
    <w:unhideWhenUsed/>
    <w:rsid w:val="007A2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Dunphy</dc:creator>
  <cp:keywords/>
  <dc:description/>
  <cp:lastModifiedBy>Brian Dunphy</cp:lastModifiedBy>
  <cp:revision>1</cp:revision>
  <cp:lastPrinted>2019-05-21T18:23:00Z</cp:lastPrinted>
  <dcterms:created xsi:type="dcterms:W3CDTF">2019-05-21T16:29:00Z</dcterms:created>
  <dcterms:modified xsi:type="dcterms:W3CDTF">2019-05-21T18:30:00Z</dcterms:modified>
</cp:coreProperties>
</file>