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7D6CBC" w:rsidP="007A21CB">
      <w:pPr>
        <w:spacing w:after="0"/>
        <w:rPr>
          <w:b/>
          <w:sz w:val="24"/>
          <w:szCs w:val="24"/>
          <w:highlight w:val="lightGray"/>
        </w:rPr>
      </w:pPr>
      <w:proofErr w:type="spellStart"/>
      <w:r w:rsidRPr="007D6CBC">
        <w:rPr>
          <w:b/>
          <w:sz w:val="28"/>
          <w:szCs w:val="28"/>
        </w:rPr>
        <w:t>Microcel</w:t>
      </w:r>
      <w:proofErr w:type="spellEnd"/>
      <w:r w:rsidRPr="007D6CBC">
        <w:rPr>
          <w:b/>
          <w:sz w:val="28"/>
          <w:szCs w:val="28"/>
        </w:rPr>
        <w:t xml:space="preserve"> Puff</w:t>
      </w:r>
      <w:r>
        <w:rPr>
          <w:rFonts w:cstheme="minorHAnsi"/>
          <w:b/>
          <w:sz w:val="28"/>
          <w:szCs w:val="28"/>
        </w:rPr>
        <w:t>®</w:t>
      </w:r>
      <w:r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SECTION 1: 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bookmarkStart w:id="0" w:name="_GoBack"/>
      <w:bookmarkEnd w:id="0"/>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t>Ethylene Vinyl Acetate ‐ EVA</w:t>
      </w:r>
    </w:p>
    <w:p w:rsidR="00D7212D" w:rsidRDefault="00D7212D" w:rsidP="00D7212D">
      <w:pPr>
        <w:spacing w:after="0"/>
        <w:ind w:left="2160"/>
      </w:pPr>
      <w:r>
        <w:t>P-Cell</w:t>
      </w:r>
      <w:r w:rsidR="007A21CB">
        <w:rPr>
          <w:rFonts w:cstheme="minorHAnsi"/>
        </w:rPr>
        <w:t>®</w:t>
      </w:r>
      <w:r>
        <w:t xml:space="preserve">, </w:t>
      </w:r>
      <w:proofErr w:type="spellStart"/>
      <w:r>
        <w:t>Microcel</w:t>
      </w:r>
      <w:proofErr w:type="spellEnd"/>
      <w:r>
        <w:t xml:space="preserve"> Puff</w:t>
      </w:r>
      <w:r w:rsidR="007A21CB">
        <w:rPr>
          <w:rFonts w:cstheme="minorHAnsi"/>
        </w:rPr>
        <w:t>®</w:t>
      </w:r>
      <w:r>
        <w:t xml:space="preserve"> 35, </w:t>
      </w:r>
      <w:proofErr w:type="spellStart"/>
      <w:r>
        <w:t>Microcel</w:t>
      </w:r>
      <w:proofErr w:type="spellEnd"/>
      <w:r>
        <w:t xml:space="preserve"> Puff</w:t>
      </w:r>
      <w:r w:rsidR="007A21CB">
        <w:rPr>
          <w:rFonts w:cstheme="minorHAnsi"/>
        </w:rPr>
        <w:t>®</w:t>
      </w:r>
      <w:r>
        <w:t xml:space="preserve"> 45, </w:t>
      </w:r>
      <w:proofErr w:type="spellStart"/>
      <w:r>
        <w:t>Microcel</w:t>
      </w:r>
      <w:proofErr w:type="spellEnd"/>
      <w:r>
        <w:t xml:space="preserve"> Puff</w:t>
      </w:r>
      <w:r w:rsidR="007A21CB">
        <w:rPr>
          <w:rFonts w:cstheme="minorHAnsi"/>
        </w:rPr>
        <w:t>®</w:t>
      </w:r>
      <w:r>
        <w:t xml:space="preserve"> 55, FM</w:t>
      </w:r>
      <w:r w:rsidR="007A21CB">
        <w:rPr>
          <w:rFonts w:cstheme="minorHAnsi"/>
        </w:rPr>
        <w:t>™</w:t>
      </w:r>
      <w:r>
        <w:t>, Impression Puff</w:t>
      </w:r>
      <w:r w:rsidR="007A21CB">
        <w:rPr>
          <w:rFonts w:cstheme="minorHAnsi"/>
        </w:rPr>
        <w:t>™</w:t>
      </w:r>
      <w:r>
        <w:t xml:space="preserve">, </w:t>
      </w:r>
      <w:proofErr w:type="spellStart"/>
      <w:r>
        <w:t>DuraForm</w:t>
      </w:r>
      <w:proofErr w:type="spellEnd"/>
      <w:r w:rsidR="007A21CB">
        <w:rPr>
          <w:rFonts w:cstheme="minorHAnsi"/>
        </w:rPr>
        <w:t>™</w:t>
      </w:r>
      <w:r>
        <w:t xml:space="preserve">, </w:t>
      </w:r>
      <w:proofErr w:type="spellStart"/>
      <w:r>
        <w:t>MultiCork</w:t>
      </w:r>
      <w:proofErr w:type="spellEnd"/>
      <w:r w:rsidR="007A21CB">
        <w:rPr>
          <w:rFonts w:cstheme="minorHAnsi"/>
        </w:rPr>
        <w:t>™</w:t>
      </w:r>
      <w:r>
        <w:t xml:space="preserve">, </w:t>
      </w:r>
      <w:proofErr w:type="spellStart"/>
      <w:r>
        <w:t>Microcel</w:t>
      </w:r>
      <w:proofErr w:type="spellEnd"/>
      <w:r>
        <w:t xml:space="preserve"> Puff SBR</w:t>
      </w:r>
      <w:r w:rsidR="007A21CB">
        <w:rPr>
          <w:rFonts w:cstheme="minorHAnsi"/>
        </w:rPr>
        <w:t>®</w:t>
      </w:r>
      <w:r w:rsidR="00E07AF4">
        <w:rPr>
          <w:rFonts w:cstheme="minorHAnsi"/>
        </w:rPr>
        <w:t>,</w:t>
      </w:r>
      <w:r w:rsidR="008F07B6">
        <w:rPr>
          <w:rFonts w:cstheme="minorHAnsi"/>
        </w:rPr>
        <w:t xml:space="preserve"> Acor</w:t>
      </w:r>
      <w:r w:rsidR="00E07AF4">
        <w:rPr>
          <w:rFonts w:cstheme="minorHAnsi"/>
        </w:rPr>
        <w:t xml:space="preserve"> Pickford Prosthetic Liner</w:t>
      </w:r>
    </w:p>
    <w:p w:rsidR="00D7212D" w:rsidRDefault="00D7212D" w:rsidP="00D7212D">
      <w:pPr>
        <w:spacing w:after="0"/>
      </w:pPr>
      <w:r>
        <w:t>Other Means of Identification: None</w:t>
      </w:r>
    </w:p>
    <w:p w:rsidR="00D7212D" w:rsidRDefault="00D7212D" w:rsidP="00D7212D">
      <w:pPr>
        <w:spacing w:after="0"/>
      </w:pPr>
      <w:r>
        <w:t>Recommended Uses:  Film‐forming and molding resins, packaging, hot melt adhesive, 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Primary Routes of 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proofErr w:type="gramStart"/>
      <w:r>
        <w:t>under</w:t>
      </w:r>
      <w:proofErr w:type="gramEnd"/>
      <w:r>
        <w:t xml:space="preserve">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proofErr w:type="gramStart"/>
      <w:r>
        <w:t>dust</w:t>
      </w:r>
      <w:proofErr w:type="gramEnd"/>
      <w:r>
        <w:t xml:space="preserve"> or powder. </w:t>
      </w:r>
    </w:p>
    <w:p w:rsidR="007A21CB" w:rsidRDefault="007A21CB" w:rsidP="00C248EB">
      <w:pPr>
        <w:spacing w:after="0"/>
      </w:pPr>
    </w:p>
    <w:p w:rsidR="007A21CB" w:rsidRDefault="007A21CB" w:rsidP="00C248EB">
      <w:pPr>
        <w:spacing w:after="0"/>
      </w:pPr>
    </w:p>
    <w:p w:rsidR="00C248EB" w:rsidRDefault="00D7212D" w:rsidP="00C248EB">
      <w:pPr>
        <w:spacing w:after="0"/>
      </w:pPr>
      <w:r>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proofErr w:type="gramStart"/>
      <w:r>
        <w:t>Ongoing</w:t>
      </w:r>
      <w:proofErr w:type="gramEnd"/>
      <w:r>
        <w:t xml:space="preserve">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r>
      <w:proofErr w:type="gramStart"/>
      <w:r w:rsidR="00C248EB">
        <w:t>Ongoing</w:t>
      </w:r>
      <w:proofErr w:type="gramEnd"/>
      <w:r w:rsidR="008B3E54" w:rsidRPr="008B3E54">
        <w:t xml:space="preserve"> </w:t>
      </w:r>
      <w:r w:rsidR="008B3E54">
        <w:t>exposure may aggravate acute effects.</w:t>
      </w:r>
    </w:p>
    <w:p w:rsidR="00C248EB" w:rsidRDefault="008B3E54" w:rsidP="008B3E54">
      <w:pPr>
        <w:spacing w:after="0"/>
      </w:pPr>
      <w:proofErr w:type="gramStart"/>
      <w:r>
        <w:t>by</w:t>
      </w:r>
      <w:proofErr w:type="gramEnd"/>
      <w:r>
        <w:t xml:space="preserve">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 xml:space="preserve">Wear safety glasses with side shields or chemical goggles to prevent eye contact. Have eye‐washing facilities readily available where eye contact can occur. It </w:t>
      </w:r>
      <w:proofErr w:type="gramStart"/>
      <w:r>
        <w:t>is recommended</w:t>
      </w:r>
      <w:proofErr w:type="gramEnd"/>
      <w:r>
        <w:t xml:space="preserve">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w:t>
      </w:r>
      <w:proofErr w:type="gramStart"/>
      <w:r>
        <w:t>has not been found</w:t>
      </w:r>
      <w:proofErr w:type="gramEnd"/>
      <w:r>
        <w:t xml:space="preserve">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proofErr w:type="spellStart"/>
      <w:r>
        <w:t>Ecotoxicity</w:t>
      </w:r>
      <w:proofErr w:type="spellEnd"/>
      <w:r>
        <w:t xml:space="preserve">:      </w:t>
      </w:r>
      <w:r w:rsidR="00D87EB5">
        <w:tab/>
      </w:r>
      <w:r w:rsidR="00D87EB5">
        <w:tab/>
      </w:r>
      <w:r w:rsidR="00D87EB5">
        <w:tab/>
      </w:r>
      <w:r w:rsidR="007D6CBC">
        <w:tab/>
      </w:r>
      <w:r>
        <w:t xml:space="preserve">No known or expected </w:t>
      </w:r>
      <w:proofErr w:type="spellStart"/>
      <w:r>
        <w:t>ecotoxicity</w:t>
      </w:r>
      <w:proofErr w:type="spellEnd"/>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proofErr w:type="spellStart"/>
      <w:r>
        <w:t>Bioaccumulative</w:t>
      </w:r>
      <w:proofErr w:type="spellEnd"/>
      <w:r>
        <w:t xml:space="preser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unused</w:t>
      </w:r>
      <w:proofErr w:type="gramStart"/>
      <w:r>
        <w:t>  product</w:t>
      </w:r>
      <w:proofErr w:type="gramEnd"/>
      <w:r>
        <w:t xml:space="preserve">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proofErr w:type="gramStart"/>
      <w:r>
        <w:t>hazardous</w:t>
      </w:r>
      <w:proofErr w:type="gramEnd"/>
      <w:r>
        <w:t xml:space="preserve"> characteristics of ignitability, </w:t>
      </w:r>
      <w:proofErr w:type="spellStart"/>
      <w:r>
        <w:t>corrosivity</w:t>
      </w:r>
      <w:proofErr w:type="spellEnd"/>
      <w:r>
        <w:t xml:space="preserve">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proofErr w:type="gramStart"/>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w:t>
      </w:r>
      <w:proofErr w:type="gramEnd"/>
      <w:r>
        <w:t xml:space="preserve">In additional, no responsibility </w:t>
      </w:r>
      <w:proofErr w:type="gramStart"/>
      <w:r>
        <w:t>can be assumed</w:t>
      </w:r>
      <w:proofErr w:type="gramEnd"/>
      <w:r>
        <w:t xml:space="preserve">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FF" w:rsidRDefault="00C250FF" w:rsidP="007D6CBC">
      <w:pPr>
        <w:spacing w:after="0" w:line="240" w:lineRule="auto"/>
      </w:pPr>
      <w:r>
        <w:separator/>
      </w:r>
    </w:p>
  </w:endnote>
  <w:endnote w:type="continuationSeparator" w:id="0">
    <w:p w:rsidR="00C250FF" w:rsidRDefault="00C250FF"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8F07B6">
          <w:rPr>
            <w:noProof/>
          </w:rPr>
          <w:t>5</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FF" w:rsidRDefault="00C250FF" w:rsidP="007D6CBC">
      <w:pPr>
        <w:spacing w:after="0" w:line="240" w:lineRule="auto"/>
      </w:pPr>
      <w:r>
        <w:separator/>
      </w:r>
    </w:p>
  </w:footnote>
  <w:footnote w:type="continuationSeparator" w:id="0">
    <w:p w:rsidR="00C250FF" w:rsidRDefault="00C250FF"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446C5C"/>
    <w:rsid w:val="007A21CB"/>
    <w:rsid w:val="007D6CBC"/>
    <w:rsid w:val="008B3E54"/>
    <w:rsid w:val="008F07B6"/>
    <w:rsid w:val="00975B05"/>
    <w:rsid w:val="00B6647A"/>
    <w:rsid w:val="00C248EB"/>
    <w:rsid w:val="00C250FF"/>
    <w:rsid w:val="00CE4A2F"/>
    <w:rsid w:val="00D139EC"/>
    <w:rsid w:val="00D7212D"/>
    <w:rsid w:val="00D87EB5"/>
    <w:rsid w:val="00E0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0D407"/>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4</cp:revision>
  <cp:lastPrinted>2019-05-21T18:23:00Z</cp:lastPrinted>
  <dcterms:created xsi:type="dcterms:W3CDTF">2019-05-21T16:29:00Z</dcterms:created>
  <dcterms:modified xsi:type="dcterms:W3CDTF">2022-01-26T17:14:00Z</dcterms:modified>
</cp:coreProperties>
</file>